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10329"/>
      </w:tblGrid>
      <w:tr w:rsidR="00C0319E" w:rsidRPr="00BB32C1" w:rsidTr="000B08BC">
        <w:tc>
          <w:tcPr>
            <w:tcW w:w="10790" w:type="dxa"/>
            <w:gridSpan w:val="2"/>
            <w:tcBorders>
              <w:bottom w:val="single" w:sz="4" w:space="0" w:color="auto"/>
            </w:tcBorders>
          </w:tcPr>
          <w:p w:rsidR="00BE54A6" w:rsidRPr="00BB32C1" w:rsidRDefault="00944550" w:rsidP="00CE63DD">
            <w:pPr>
              <w:pStyle w:val="ChecklistBasis"/>
              <w:spacing w:line="276" w:lineRule="auto"/>
            </w:pPr>
            <w:r w:rsidRPr="00BB32C1">
              <w:t xml:space="preserve">The purpose of this </w:t>
            </w:r>
            <w:r w:rsidR="004F149A" w:rsidRPr="00BB32C1">
              <w:t>worksheet</w:t>
            </w:r>
            <w:r w:rsidRPr="00BB32C1">
              <w:t xml:space="preserve"> is to provide support for </w:t>
            </w:r>
            <w:r w:rsidR="00E4430C" w:rsidRPr="00BB32C1">
              <w:t xml:space="preserve">IRB members </w:t>
            </w:r>
            <w:r w:rsidR="00940464">
              <w:t xml:space="preserve">reviewing </w:t>
            </w:r>
            <w:r w:rsidR="00E11A6E">
              <w:t xml:space="preserve">requests </w:t>
            </w:r>
            <w:r w:rsidR="00BA17FA">
              <w:t>to create</w:t>
            </w:r>
            <w:r w:rsidR="00E11A6E">
              <w:t xml:space="preserve"> a research database, registry, or repository.</w:t>
            </w:r>
            <w:r w:rsidRPr="00BB32C1">
              <w:t xml:space="preserve"> </w:t>
            </w:r>
            <w:r w:rsidR="00E4430C" w:rsidRPr="00BB32C1">
              <w:t xml:space="preserve">This </w:t>
            </w:r>
            <w:r w:rsidR="00837B0C" w:rsidRPr="00BB32C1">
              <w:t>worksheet</w:t>
            </w:r>
            <w:r w:rsidR="00E4430C" w:rsidRPr="00BB32C1">
              <w:t xml:space="preserve"> must be used</w:t>
            </w:r>
            <w:r w:rsidR="006271BC" w:rsidRPr="00BB32C1">
              <w:t>.</w:t>
            </w:r>
            <w:r w:rsidR="006F2783">
              <w:t xml:space="preserve"> This worksheet should be used in addition to any other relevant worksheets and checklists.</w:t>
            </w:r>
            <w:r w:rsidR="006271BC" w:rsidRPr="00BB32C1">
              <w:t xml:space="preserve"> </w:t>
            </w:r>
            <w:r w:rsidR="00BC30C9" w:rsidRPr="00BB32C1">
              <w:t xml:space="preserve">It does not need to be completed or </w:t>
            </w:r>
            <w:r w:rsidR="006271BC" w:rsidRPr="00BB32C1">
              <w:t>retained</w:t>
            </w:r>
            <w:r w:rsidR="00BC30C9" w:rsidRPr="00BB32C1">
              <w:t>.</w:t>
            </w:r>
          </w:p>
        </w:tc>
      </w:tr>
      <w:tr w:rsidR="00A23C37" w:rsidRPr="00BB32C1" w:rsidTr="000B08BC">
        <w:trPr>
          <w:trHeight w:hRule="exact" w:val="72"/>
        </w:trPr>
        <w:tc>
          <w:tcPr>
            <w:tcW w:w="10790" w:type="dxa"/>
            <w:gridSpan w:val="2"/>
            <w:tcBorders>
              <w:bottom w:val="single" w:sz="4" w:space="0" w:color="auto"/>
            </w:tcBorders>
            <w:shd w:val="clear" w:color="auto" w:fill="000000"/>
          </w:tcPr>
          <w:p w:rsidR="00A23C37" w:rsidRPr="00BB32C1" w:rsidRDefault="00A23C37" w:rsidP="00CE63DD">
            <w:pPr>
              <w:pStyle w:val="StatementLevel1"/>
              <w:spacing w:line="276" w:lineRule="auto"/>
            </w:pPr>
          </w:p>
        </w:tc>
      </w:tr>
      <w:tr w:rsidR="00BA17FA" w:rsidRPr="00BB32C1" w:rsidTr="00374B9E">
        <w:trPr>
          <w:trHeight w:val="64"/>
        </w:trPr>
        <w:tc>
          <w:tcPr>
            <w:tcW w:w="10790" w:type="dxa"/>
            <w:gridSpan w:val="2"/>
            <w:tcBorders>
              <w:bottom w:val="single" w:sz="4" w:space="0" w:color="auto"/>
            </w:tcBorders>
          </w:tcPr>
          <w:p w:rsidR="00BA17FA" w:rsidRDefault="00BA17FA" w:rsidP="00CE63DD">
            <w:pPr>
              <w:pStyle w:val="ChecklistLevel1"/>
              <w:spacing w:line="276" w:lineRule="auto"/>
            </w:pPr>
            <w:r>
              <w:t>Request to Develop a Research Database, Registry, or Repository</w:t>
            </w:r>
          </w:p>
          <w:p w:rsidR="00BA17FA" w:rsidRPr="00BB32C1" w:rsidRDefault="00BA17FA" w:rsidP="00CE63DD">
            <w:pPr>
              <w:pStyle w:val="ChecklistLevel1"/>
              <w:numPr>
                <w:ilvl w:val="0"/>
                <w:numId w:val="0"/>
              </w:numPr>
              <w:spacing w:line="276" w:lineRule="auto"/>
              <w:ind w:left="360"/>
            </w:pPr>
            <w:r w:rsidRPr="005C309F">
              <w:rPr>
                <w:b w:val="0"/>
              </w:rPr>
              <w:t xml:space="preserve">The </w:t>
            </w:r>
            <w:r>
              <w:rPr>
                <w:b w:val="0"/>
              </w:rPr>
              <w:t xml:space="preserve">IRB will consider the following when reviewing a proposal to develop a research database, registry, or repository:  </w:t>
            </w:r>
          </w:p>
        </w:tc>
      </w:tr>
      <w:tr w:rsidR="00BA17FA" w:rsidTr="00374B9E">
        <w:trPr>
          <w:trHeight w:val="111"/>
        </w:trPr>
        <w:tc>
          <w:tcPr>
            <w:tcW w:w="461" w:type="dxa"/>
          </w:tcPr>
          <w:p w:rsidR="00BA17FA" w:rsidRPr="00BB32C1" w:rsidRDefault="00BA17FA"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Default="00BA17FA" w:rsidP="00CE63DD">
            <w:pPr>
              <w:pStyle w:val="StatementLevel1"/>
              <w:spacing w:line="276" w:lineRule="auto"/>
            </w:pPr>
            <w:r>
              <w:rPr>
                <w:b/>
              </w:rPr>
              <w:t xml:space="preserve">Justification and Significance. </w:t>
            </w:r>
            <w:r>
              <w:t>The protocol provides sufficient justification for the need to develop a research database, registry, or repository by providing evidence regarding the need.</w:t>
            </w:r>
          </w:p>
        </w:tc>
      </w:tr>
      <w:tr w:rsidR="00BA17FA" w:rsidRPr="000B08BC" w:rsidTr="00374B9E">
        <w:trPr>
          <w:trHeight w:val="111"/>
        </w:trPr>
        <w:tc>
          <w:tcPr>
            <w:tcW w:w="461" w:type="dxa"/>
          </w:tcPr>
          <w:p w:rsidR="00BA17FA" w:rsidRPr="00BB32C1" w:rsidRDefault="00BA17FA"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Default="00BA17FA" w:rsidP="00CE63DD">
            <w:pPr>
              <w:pStyle w:val="StatementLevel1"/>
              <w:spacing w:line="276" w:lineRule="auto"/>
            </w:pPr>
            <w:r>
              <w:rPr>
                <w:b/>
              </w:rPr>
              <w:t xml:space="preserve">Governance and Oversight. </w:t>
            </w:r>
            <w:r>
              <w:t xml:space="preserve">The </w:t>
            </w:r>
            <w:r w:rsidR="006F2783">
              <w:t>protocol includes:</w:t>
            </w:r>
            <w:r>
              <w:t xml:space="preserve"> </w:t>
            </w:r>
          </w:p>
          <w:p w:rsidR="00BA17FA" w:rsidRDefault="00BA17FA" w:rsidP="00CE63DD">
            <w:pPr>
              <w:pStyle w:val="StatementLevel1"/>
              <w:spacing w:line="276" w:lineRule="auto"/>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w:t>
            </w:r>
            <w:r w:rsidR="00191219">
              <w:t xml:space="preserve">Inclusion of </w:t>
            </w:r>
            <w:r w:rsidR="006F2783">
              <w:t>adequate resources to develop, manage, and sustain the research database, registry, or repository</w:t>
            </w:r>
            <w:r w:rsidR="00191219">
              <w:t>.</w:t>
            </w:r>
          </w:p>
          <w:p w:rsidR="00191219" w:rsidRDefault="00BA17FA" w:rsidP="00CE63DD">
            <w:pPr>
              <w:pStyle w:val="StatementLevel1"/>
              <w:spacing w:line="276" w:lineRule="auto"/>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rsidR="00191219">
              <w:t xml:space="preserve"> A </w:t>
            </w:r>
            <w:r w:rsidR="00191219" w:rsidRPr="00191219">
              <w:t>plan for continuing operations in the absence or departure of the PI.</w:t>
            </w:r>
          </w:p>
          <w:p w:rsidR="00191219" w:rsidRDefault="00BA17FA" w:rsidP="00CE63DD">
            <w:pPr>
              <w:pStyle w:val="StatementLevel1"/>
              <w:spacing w:line="276" w:lineRule="auto"/>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rsidR="00191219">
              <w:t xml:space="preserve"> Quality Assurance resource or plan to ensure the quality and integrity of the data or specimens collected and stored.</w:t>
            </w:r>
          </w:p>
          <w:p w:rsidR="00BA17FA" w:rsidRDefault="00191219"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When applicable, includes an Honest Broker of Identifiable Information, who </w:t>
            </w:r>
            <w:r w:rsidRPr="00191219">
              <w:t>will have the authority and responsibility to act on behalf of the database/registry/repository to remove the link to research identifiers and clinical identifiers in order to provide data, specimens or images to researchers without revealing the identity of participants</w:t>
            </w:r>
            <w:r>
              <w:t xml:space="preserve">. The protocol should also reference </w:t>
            </w:r>
            <w:r w:rsidRPr="00191219">
              <w:t>the policies and procedures that enable the honest broker to perform his/her function.</w:t>
            </w:r>
          </w:p>
          <w:p w:rsidR="00BA17FA" w:rsidRPr="000B08BC" w:rsidRDefault="00BA17FA"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w:t>
            </w:r>
            <w:r w:rsidR="00191219">
              <w:t>When applicable, includes a Custodian of Specimens, who will be</w:t>
            </w:r>
            <w:r w:rsidR="00191219" w:rsidRPr="00191219">
              <w:t xml:space="preserve"> responsible for the management of a biospecimen resource.</w:t>
            </w:r>
            <w:r w:rsidR="00191219">
              <w:t xml:space="preserve"> The protocol should also</w:t>
            </w:r>
            <w:r w:rsidR="00191219" w:rsidRPr="00191219">
              <w:t xml:space="preserve"> </w:t>
            </w:r>
            <w:r w:rsidR="00191219">
              <w:t>d</w:t>
            </w:r>
            <w:r w:rsidR="00191219" w:rsidRPr="00191219">
              <w:t>escribe how the custodian will work with other key stakeholders in the management of the resource including the tracking of all relevant documentation for the resource and for ensuring that policies regarding access to the resource are in place and implemented according to appropriate guidelines.</w:t>
            </w:r>
          </w:p>
        </w:tc>
      </w:tr>
      <w:tr w:rsidR="00BA17FA" w:rsidTr="00374B9E">
        <w:trPr>
          <w:trHeight w:val="111"/>
        </w:trPr>
        <w:tc>
          <w:tcPr>
            <w:tcW w:w="461" w:type="dxa"/>
          </w:tcPr>
          <w:p w:rsidR="00BA17FA" w:rsidRPr="00BB32C1" w:rsidRDefault="00BA17FA"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Default="00BA17FA" w:rsidP="00CE63DD">
            <w:pPr>
              <w:pStyle w:val="StatementLevel1"/>
              <w:spacing w:line="276" w:lineRule="auto"/>
              <w:rPr>
                <w:b/>
              </w:rPr>
            </w:pPr>
            <w:r>
              <w:rPr>
                <w:b/>
              </w:rPr>
              <w:t>Data/Specimen Collection</w:t>
            </w:r>
            <w:r w:rsidR="00191219" w:rsidRPr="00191219">
              <w:rPr>
                <w:b/>
              </w:rPr>
              <w:t>.</w:t>
            </w:r>
            <w:r w:rsidR="00191219" w:rsidRPr="00191219">
              <w:t xml:space="preserve"> Consider the following:</w:t>
            </w:r>
          </w:p>
          <w:p w:rsidR="00BA17FA" w:rsidRDefault="00BA17FA" w:rsidP="00CE63DD">
            <w:pPr>
              <w:pStyle w:val="StatementLevel1"/>
              <w:spacing w:line="276" w:lineRule="auto"/>
              <w:ind w:left="324" w:hanging="324"/>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If identifiable information will be collected outside of the Information Exchange, the investigator must have a plan for verifying that the patients have not opted out of research participation</w:t>
            </w:r>
            <w:r w:rsidR="00CE63DD">
              <w:t>,</w:t>
            </w:r>
            <w:r>
              <w:t xml:space="preserve"> and permission for or justification of authority for the investigator to collect the records for a research database, registry, or repository</w:t>
            </w:r>
            <w:r w:rsidR="00CE63DD">
              <w:t xml:space="preserve"> is evident</w:t>
            </w:r>
            <w:r>
              <w:t>.</w:t>
            </w:r>
          </w:p>
          <w:bookmarkStart w:id="0" w:name="_GoBack"/>
          <w:p w:rsidR="00BA17FA" w:rsidRDefault="00BA17FA" w:rsidP="00CE63DD">
            <w:pPr>
              <w:pStyle w:val="StatementLevel1"/>
              <w:spacing w:line="276" w:lineRule="auto"/>
              <w:ind w:left="324" w:hanging="324"/>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bookmarkEnd w:id="0"/>
            <w:r>
              <w:t xml:space="preserve"> If </w:t>
            </w:r>
            <w:r w:rsidRPr="00BA17FA">
              <w:t>pre-existing data or specimens</w:t>
            </w:r>
            <w:r>
              <w:t xml:space="preserve"> from research protocols will</w:t>
            </w:r>
            <w:r w:rsidRPr="00BA17FA">
              <w:t xml:space="preserve"> be transferred to the</w:t>
            </w:r>
            <w:r w:rsidR="00850DFF">
              <w:t xml:space="preserve"> research</w:t>
            </w:r>
            <w:r w:rsidRPr="00BA17FA">
              <w:t xml:space="preserve"> database, registry, or repository</w:t>
            </w:r>
            <w:r>
              <w:t xml:space="preserve">, the </w:t>
            </w:r>
            <w:r w:rsidR="00850DFF">
              <w:t xml:space="preserve">protocol includes a list of </w:t>
            </w:r>
            <w:r>
              <w:t xml:space="preserve">those protocols, </w:t>
            </w:r>
            <w:r w:rsidR="00850DFF" w:rsidRPr="00850DFF">
              <w:t xml:space="preserve">from which the data or specimens were originally collected, and </w:t>
            </w:r>
            <w:r w:rsidR="00850DFF">
              <w:t xml:space="preserve">includes reference from </w:t>
            </w:r>
            <w:r w:rsidR="00850DFF" w:rsidRPr="00850DFF">
              <w:t>the original informed consent document</w:t>
            </w:r>
            <w:r w:rsidR="00850DFF">
              <w:t>(s)</w:t>
            </w:r>
            <w:r w:rsidR="00850DFF" w:rsidRPr="00850DFF">
              <w:t xml:space="preserve"> that </w:t>
            </w:r>
            <w:r w:rsidR="00850DFF">
              <w:t>allow</w:t>
            </w:r>
            <w:r w:rsidR="00850DFF" w:rsidRPr="00850DFF">
              <w:t xml:space="preserve"> for banking</w:t>
            </w:r>
            <w:r w:rsidR="00850DFF">
              <w:t xml:space="preserve"> of information/specimens</w:t>
            </w:r>
            <w:r w:rsidR="00850DFF" w:rsidRPr="00850DFF">
              <w:t>.</w:t>
            </w:r>
          </w:p>
          <w:p w:rsidR="00850DFF" w:rsidRDefault="00850DFF" w:rsidP="00CE63DD">
            <w:pPr>
              <w:pStyle w:val="StatementLevel1"/>
              <w:spacing w:line="276" w:lineRule="auto"/>
              <w:ind w:left="324" w:hanging="324"/>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r>
              <w:t xml:space="preserve"> </w:t>
            </w:r>
            <w:r w:rsidRPr="00850DFF">
              <w:t xml:space="preserve">If specimens and/or health information will be included that derives from persons living outside the United States, </w:t>
            </w:r>
            <w:r>
              <w:t>the protocol includes</w:t>
            </w:r>
            <w:r w:rsidRPr="00850DFF">
              <w:t xml:space="preserve"> justification for their inclusion and outline</w:t>
            </w:r>
            <w:r>
              <w:t>s</w:t>
            </w:r>
            <w:r w:rsidRPr="00850DFF">
              <w:t xml:space="preserve"> the international laws that permit such a transfer of specimens and/or health information.</w:t>
            </w:r>
          </w:p>
          <w:p w:rsidR="00850DFF" w:rsidRDefault="00850DFF" w:rsidP="00CE63DD">
            <w:pPr>
              <w:pStyle w:val="StatementLevel1"/>
              <w:spacing w:line="276" w:lineRule="auto"/>
              <w:ind w:left="324" w:hanging="324"/>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r>
              <w:t xml:space="preserve"> If there is an intent to update participant data in the future, the protocol includes a plan for verifying that the participant has not opted out of research participation.</w:t>
            </w:r>
          </w:p>
        </w:tc>
      </w:tr>
      <w:tr w:rsidR="00BA17FA" w:rsidTr="00374B9E">
        <w:trPr>
          <w:trHeight w:val="111"/>
        </w:trPr>
        <w:tc>
          <w:tcPr>
            <w:tcW w:w="461" w:type="dxa"/>
          </w:tcPr>
          <w:p w:rsidR="00BA17FA" w:rsidRPr="00BB32C1" w:rsidRDefault="00BA17FA"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Pr="00850DFF" w:rsidRDefault="00850DFF" w:rsidP="00CE63DD">
            <w:pPr>
              <w:pStyle w:val="StatementLevel1"/>
              <w:spacing w:line="276" w:lineRule="auto"/>
            </w:pPr>
            <w:r>
              <w:rPr>
                <w:b/>
              </w:rPr>
              <w:t xml:space="preserve">Data/Specimen Storage and Retention. </w:t>
            </w:r>
            <w:r>
              <w:t>The protocol includes a plan for the storage, retention, and destruction of data / specimens, including reference to any standard operating procedures that will facilitate these processes.</w:t>
            </w:r>
          </w:p>
        </w:tc>
      </w:tr>
      <w:tr w:rsidR="00850DFF" w:rsidTr="00374B9E">
        <w:trPr>
          <w:trHeight w:val="111"/>
        </w:trPr>
        <w:tc>
          <w:tcPr>
            <w:tcW w:w="461" w:type="dxa"/>
          </w:tcPr>
          <w:p w:rsidR="00850DFF" w:rsidRPr="00BB32C1" w:rsidRDefault="006F2783"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850DFF" w:rsidRDefault="00850DFF" w:rsidP="00CE63DD">
            <w:pPr>
              <w:pStyle w:val="StatementLevel1"/>
              <w:spacing w:line="276" w:lineRule="auto"/>
            </w:pPr>
            <w:r>
              <w:rPr>
                <w:b/>
              </w:rPr>
              <w:t xml:space="preserve">Data/Specimen Access and Release. </w:t>
            </w:r>
            <w:r>
              <w:t xml:space="preserve">The protocol </w:t>
            </w:r>
            <w:r w:rsidR="006F2783">
              <w:t>should:</w:t>
            </w:r>
          </w:p>
          <w:p w:rsidR="006F2783" w:rsidRDefault="00850DFF" w:rsidP="00CE63DD">
            <w:pPr>
              <w:pStyle w:val="StatementLevel1"/>
              <w:spacing w:line="276" w:lineRule="auto"/>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rsidR="006F2783">
              <w:t xml:space="preserve"> Indicate who will have access to (inside and outside of the institution) the information/specimens.</w:t>
            </w:r>
          </w:p>
          <w:p w:rsidR="00850DFF" w:rsidRDefault="006F2783" w:rsidP="00CE63DD">
            <w:pPr>
              <w:pStyle w:val="StatementLevel1"/>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r w:rsidR="00850DFF">
              <w:t xml:space="preserve"> Outline the process by which data/biospecimens will be shared with investigators.</w:t>
            </w:r>
          </w:p>
          <w:p w:rsidR="00850DFF" w:rsidRDefault="00850DFF" w:rsidP="00CE63DD">
            <w:pPr>
              <w:pStyle w:val="StatementLevel1"/>
              <w:spacing w:line="276" w:lineRule="auto"/>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Clarify whether the repository will or will not provide individually identifiable information or specimens to recipient investigators</w:t>
            </w:r>
            <w:r w:rsidR="006F2783">
              <w:t>.</w:t>
            </w:r>
          </w:p>
          <w:p w:rsidR="00850DFF" w:rsidRPr="00850DFF" w:rsidRDefault="00850DFF"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w:t>
            </w:r>
            <w:r w:rsidR="006F2783">
              <w:t>Include p</w:t>
            </w:r>
            <w:r>
              <w:t>rotections to prevent employers or insurers to gain access to research data.</w:t>
            </w:r>
            <w:r w:rsidR="006F2783">
              <w:t xml:space="preserve"> </w:t>
            </w:r>
            <w:r>
              <w:t>The protections should be consistent with GINA (Genetics Information Nondiscrimintation Act).</w:t>
            </w:r>
          </w:p>
        </w:tc>
      </w:tr>
      <w:tr w:rsidR="00BA17FA" w:rsidTr="00374B9E">
        <w:trPr>
          <w:trHeight w:val="111"/>
        </w:trPr>
        <w:tc>
          <w:tcPr>
            <w:tcW w:w="461" w:type="dxa"/>
          </w:tcPr>
          <w:p w:rsidR="00BA17FA" w:rsidRPr="00BB32C1" w:rsidRDefault="00BA17FA" w:rsidP="00CE63DD">
            <w:pPr>
              <w:pStyle w:val="Yes-No"/>
              <w:spacing w:line="276" w:lineRule="auto"/>
            </w:pPr>
            <w:r w:rsidRPr="00BB32C1">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Pr="006F2783" w:rsidRDefault="006F2783" w:rsidP="00CE63DD">
            <w:pPr>
              <w:pStyle w:val="StatementLevel1"/>
              <w:spacing w:line="276" w:lineRule="auto"/>
              <w:rPr>
                <w:b/>
              </w:rPr>
            </w:pPr>
            <w:r>
              <w:rPr>
                <w:b/>
              </w:rPr>
              <w:t xml:space="preserve">Confidentiality and Data Security. </w:t>
            </w:r>
            <w:r w:rsidR="00BA17FA">
              <w:t>The protocol should:</w:t>
            </w:r>
          </w:p>
          <w:p w:rsidR="00BA17FA" w:rsidRDefault="00BA17FA" w:rsidP="00CE63DD">
            <w:pPr>
              <w:pStyle w:val="StatementLevel1"/>
              <w:spacing w:line="276" w:lineRule="auto"/>
              <w:ind w:left="316" w:hanging="316"/>
            </w:pPr>
            <w:r w:rsidRPr="000B08BC">
              <w:rPr>
                <w:b/>
              </w:rPr>
              <w:fldChar w:fldCharType="begin">
                <w:ffData>
                  <w:name w:val="Check1"/>
                  <w:enabled/>
                  <w:calcOnExit w:val="0"/>
                  <w:checkBox>
                    <w:sizeAuto/>
                    <w:default w:val="0"/>
                  </w:checkBox>
                </w:ffData>
              </w:fldChar>
            </w:r>
            <w:r w:rsidRPr="000B08BC">
              <w:rPr>
                <w:b/>
              </w:rPr>
              <w:instrText xml:space="preserve"> FORMCHECKBOX </w:instrText>
            </w:r>
            <w:r w:rsidR="00E167CD">
              <w:rPr>
                <w:b/>
              </w:rPr>
            </w:r>
            <w:r w:rsidR="00E167CD">
              <w:rPr>
                <w:b/>
              </w:rPr>
              <w:fldChar w:fldCharType="separate"/>
            </w:r>
            <w:r w:rsidRPr="000B08BC">
              <w:rPr>
                <w:b/>
              </w:rPr>
              <w:fldChar w:fldCharType="end"/>
            </w:r>
            <w:r w:rsidRPr="000B08BC">
              <w:rPr>
                <w:b/>
              </w:rPr>
              <w:t xml:space="preserve"> </w:t>
            </w:r>
            <w:r>
              <w:t>Describe the process for coding data and where the coding will be executed (e.g., at the site, by an honest broker, by the Registry personnel).</w:t>
            </w:r>
          </w:p>
          <w:p w:rsidR="00BA17FA" w:rsidRDefault="00BA17FA"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Who, if anyone, will retain the key to code linking subjects to identifiers. For example, th</w:t>
            </w:r>
            <w:r w:rsidR="006F2783">
              <w:t>e honest broker could be responsible for the key.</w:t>
            </w:r>
          </w:p>
          <w:p w:rsidR="00BA17FA" w:rsidRDefault="00BA17FA"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If the database, registry, or repository will maintain any information that can directly or indirectly (via the key to the code) identify the participants, the investigator must provide a justification</w:t>
            </w:r>
          </w:p>
          <w:p w:rsidR="006F2783" w:rsidRDefault="00BA17FA"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Describe the intended duration for maintaining the link between individually identifiable data and the dataset and the process for destroying the link.</w:t>
            </w:r>
          </w:p>
          <w:p w:rsidR="006F2783" w:rsidRDefault="006F2783" w:rsidP="00CE63DD">
            <w:pPr>
              <w:pStyle w:val="StatementLevel1"/>
              <w:spacing w:line="276" w:lineRule="auto"/>
              <w:ind w:left="320" w:hanging="320"/>
            </w:pPr>
            <w:r w:rsidRPr="00FF15B0">
              <w:fldChar w:fldCharType="begin">
                <w:ffData>
                  <w:name w:val="Check1"/>
                  <w:enabled/>
                  <w:calcOnExit w:val="0"/>
                  <w:checkBox>
                    <w:sizeAuto/>
                    <w:default w:val="0"/>
                  </w:checkBox>
                </w:ffData>
              </w:fldChar>
            </w:r>
            <w:r w:rsidRPr="00FF15B0">
              <w:instrText xml:space="preserve"> FORMCHECKBOX </w:instrText>
            </w:r>
            <w:r w:rsidR="00E167CD">
              <w:fldChar w:fldCharType="separate"/>
            </w:r>
            <w:r w:rsidRPr="00FF15B0">
              <w:fldChar w:fldCharType="end"/>
            </w:r>
            <w:r>
              <w:t xml:space="preserve"> If protected health information will be collected, the obtaining and maintaining of the information must comply with relevant HIPAA provisions.</w:t>
            </w:r>
          </w:p>
          <w:p w:rsidR="00BA17FA" w:rsidRDefault="006F2783" w:rsidP="00CE63DD">
            <w:pPr>
              <w:pStyle w:val="StatementLevel1"/>
              <w:spacing w:line="276" w:lineRule="auto"/>
              <w:ind w:left="316" w:hanging="316"/>
            </w:pPr>
            <w:r w:rsidRPr="00BB32C1">
              <w:lastRenderedPageBreak/>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r>
              <w:t xml:space="preserve">The protocol includes a plan </w:t>
            </w:r>
            <w:r w:rsidRPr="006F2783">
              <w:t>to secure the data (e.g., training, authorization of access, password protection, encryption, physical controls, certificates of confidentiality, and separation of identifiers and data) for storage, use, and transmission of data.</w:t>
            </w:r>
          </w:p>
        </w:tc>
      </w:tr>
      <w:tr w:rsidR="00BA17FA" w:rsidTr="00374B9E">
        <w:trPr>
          <w:trHeight w:val="111"/>
        </w:trPr>
        <w:tc>
          <w:tcPr>
            <w:tcW w:w="461" w:type="dxa"/>
          </w:tcPr>
          <w:p w:rsidR="00BA17FA" w:rsidRPr="00BB32C1" w:rsidRDefault="00191219" w:rsidP="00CE63DD">
            <w:pPr>
              <w:pStyle w:val="Yes-No"/>
              <w:spacing w:line="276" w:lineRule="auto"/>
            </w:pPr>
            <w:r w:rsidRPr="00BB32C1">
              <w:lastRenderedPageBreak/>
              <w:fldChar w:fldCharType="begin">
                <w:ffData>
                  <w:name w:val=""/>
                  <w:enabled/>
                  <w:calcOnExit w:val="0"/>
                  <w:checkBox>
                    <w:sizeAuto/>
                    <w:default w:val="0"/>
                  </w:checkBox>
                </w:ffData>
              </w:fldChar>
            </w:r>
            <w:r w:rsidRPr="00BB32C1">
              <w:instrText xml:space="preserve"> FORMCHECKBOX </w:instrText>
            </w:r>
            <w:r w:rsidR="00E167CD">
              <w:fldChar w:fldCharType="separate"/>
            </w:r>
            <w:r w:rsidRPr="00BB32C1">
              <w:fldChar w:fldCharType="end"/>
            </w:r>
          </w:p>
        </w:tc>
        <w:tc>
          <w:tcPr>
            <w:tcW w:w="10329" w:type="dxa"/>
            <w:tcBorders>
              <w:bottom w:val="nil"/>
            </w:tcBorders>
          </w:tcPr>
          <w:p w:rsidR="00BA17FA" w:rsidRPr="00191219" w:rsidRDefault="00191219" w:rsidP="00CE63DD">
            <w:pPr>
              <w:pStyle w:val="StatementLevel1"/>
              <w:spacing w:line="276" w:lineRule="auto"/>
            </w:pPr>
            <w:r>
              <w:rPr>
                <w:b/>
              </w:rPr>
              <w:t xml:space="preserve">Informed Consent. </w:t>
            </w:r>
            <w:r>
              <w:t xml:space="preserve">For research databases, registries, or repositories that will </w:t>
            </w:r>
            <w:r w:rsidRPr="00191219">
              <w:t>prospectively collect directly from interacting or intervening with research participants, specimens or identifiable information, for the purpose of the database, registry, or repository</w:t>
            </w:r>
            <w:r>
              <w:t xml:space="preserve">, ensure that the process and documentation meets the requirements set forth in </w:t>
            </w:r>
            <w:r>
              <w:rPr>
                <w:b/>
              </w:rPr>
              <w:t>WORKSHEET: Criteria for Approval (HRP-314)</w:t>
            </w:r>
            <w:r>
              <w:t>.</w:t>
            </w:r>
          </w:p>
        </w:tc>
      </w:tr>
      <w:tr w:rsidR="00BA17FA" w:rsidRPr="00BB32C1" w:rsidTr="000B08BC">
        <w:trPr>
          <w:trHeight w:hRule="exact" w:val="72"/>
        </w:trPr>
        <w:tc>
          <w:tcPr>
            <w:tcW w:w="10790" w:type="dxa"/>
            <w:gridSpan w:val="2"/>
            <w:tcBorders>
              <w:bottom w:val="single" w:sz="4" w:space="0" w:color="auto"/>
            </w:tcBorders>
            <w:shd w:val="clear" w:color="auto" w:fill="000000"/>
          </w:tcPr>
          <w:p w:rsidR="00BA17FA" w:rsidRPr="00BB32C1" w:rsidRDefault="00BA17FA" w:rsidP="00CE63DD">
            <w:pPr>
              <w:pStyle w:val="StatementLevel1"/>
              <w:spacing w:line="276" w:lineRule="auto"/>
            </w:pPr>
          </w:p>
        </w:tc>
      </w:tr>
    </w:tbl>
    <w:p w:rsidR="00123F57" w:rsidRPr="00ED28AC" w:rsidRDefault="00123F57" w:rsidP="00CE63DD">
      <w:pPr>
        <w:spacing w:line="276" w:lineRule="auto"/>
        <w:rPr>
          <w:sz w:val="2"/>
          <w:szCs w:val="2"/>
        </w:rPr>
      </w:pPr>
    </w:p>
    <w:sectPr w:rsidR="00123F57" w:rsidRPr="00ED28AC" w:rsidSect="002674EB">
      <w:headerReference w:type="default" r:id="rId8"/>
      <w:footerReference w:type="default" r:id="rId9"/>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25" w:rsidRDefault="00A12725">
      <w:r>
        <w:separator/>
      </w:r>
    </w:p>
  </w:endnote>
  <w:endnote w:type="continuationSeparator" w:id="0">
    <w:p w:rsidR="00A12725" w:rsidRDefault="00A1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2B" w:rsidRPr="006E07AB" w:rsidRDefault="00E167CD" w:rsidP="000D270F">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25" w:rsidRDefault="00A12725">
      <w:r>
        <w:separator/>
      </w:r>
    </w:p>
  </w:footnote>
  <w:footnote w:type="continuationSeparator" w:id="0">
    <w:p w:rsidR="00A12725" w:rsidRDefault="00A1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755CDB" w:rsidRPr="006520A8" w:rsidTr="00755CDB">
      <w:trPr>
        <w:cantSplit/>
        <w:trHeight w:hRule="exact" w:val="360"/>
      </w:trPr>
      <w:tc>
        <w:tcPr>
          <w:tcW w:w="2421" w:type="dxa"/>
          <w:vMerge w:val="restart"/>
          <w:tcBorders>
            <w:top w:val="nil"/>
            <w:left w:val="nil"/>
            <w:right w:val="nil"/>
          </w:tcBorders>
          <w:vAlign w:val="center"/>
        </w:tcPr>
        <w:p w:rsidR="00755CDB" w:rsidRPr="006520A8" w:rsidRDefault="00C57631" w:rsidP="00BC64ED">
          <w:pPr>
            <w:jc w:val="center"/>
            <w:rPr>
              <w:b/>
              <w:color w:val="FFFFFF"/>
            </w:rPr>
          </w:pPr>
          <w:r>
            <w:rPr>
              <w:noProof/>
            </w:rPr>
            <w:drawing>
              <wp:inline distT="0" distB="0" distL="0" distR="0" wp14:anchorId="5B9B9446" wp14:editId="7A942CE0">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755CDB" w:rsidRPr="006520A8" w:rsidRDefault="00755CDB" w:rsidP="00BC64ED">
          <w:pPr>
            <w:pStyle w:val="SOPName"/>
            <w:jc w:val="right"/>
            <w:rPr>
              <w:rStyle w:val="SOPLeader"/>
              <w:rFonts w:ascii="Arial" w:hAnsi="Arial" w:cs="Arial"/>
            </w:rPr>
          </w:pPr>
        </w:p>
      </w:tc>
    </w:tr>
    <w:tr w:rsidR="00755CDB" w:rsidRPr="006520A8" w:rsidTr="00755CDB">
      <w:trPr>
        <w:cantSplit/>
        <w:trHeight w:hRule="exact" w:val="360"/>
      </w:trPr>
      <w:tc>
        <w:tcPr>
          <w:tcW w:w="2421" w:type="dxa"/>
          <w:vMerge/>
          <w:tcBorders>
            <w:left w:val="nil"/>
            <w:right w:val="single" w:sz="8" w:space="0" w:color="auto"/>
          </w:tcBorders>
        </w:tcPr>
        <w:p w:rsidR="00755CDB" w:rsidRDefault="00755CDB"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755CDB" w:rsidRPr="00EA6348" w:rsidRDefault="00940464" w:rsidP="00CB2A51">
          <w:pPr>
            <w:pStyle w:val="SOPName"/>
            <w:rPr>
              <w:rFonts w:cs="Arial"/>
            </w:rPr>
          </w:pPr>
          <w:r>
            <w:rPr>
              <w:rStyle w:val="SOPLeader"/>
              <w:rFonts w:ascii="Arial" w:hAnsi="Arial" w:cs="Arial"/>
            </w:rPr>
            <w:t xml:space="preserve">WORKSHEET: </w:t>
          </w:r>
          <w:r w:rsidR="00CB2A51">
            <w:rPr>
              <w:rStyle w:val="SOPLeader"/>
              <w:rFonts w:ascii="Arial" w:hAnsi="Arial" w:cs="Arial"/>
            </w:rPr>
            <w:t>Database, Registry, Repository</w:t>
          </w:r>
        </w:p>
      </w:tc>
    </w:tr>
    <w:tr w:rsidR="00755CDB" w:rsidRPr="006520A8" w:rsidTr="00755CDB">
      <w:trPr>
        <w:cantSplit/>
        <w:trHeight w:val="195"/>
      </w:trPr>
      <w:tc>
        <w:tcPr>
          <w:tcW w:w="2421" w:type="dxa"/>
          <w:vMerge/>
          <w:tcBorders>
            <w:left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985449" w:rsidRDefault="00755CDB"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PAGE</w:t>
          </w:r>
        </w:p>
      </w:tc>
    </w:tr>
    <w:tr w:rsidR="00755CDB" w:rsidRPr="006520A8" w:rsidTr="00755CDB">
      <w:trPr>
        <w:cantSplit/>
        <w:trHeight w:val="195"/>
      </w:trPr>
      <w:tc>
        <w:tcPr>
          <w:tcW w:w="2421" w:type="dxa"/>
          <w:vMerge/>
          <w:tcBorders>
            <w:left w:val="nil"/>
            <w:bottom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C97966" w:rsidRDefault="00755CDB" w:rsidP="00460273">
          <w:pPr>
            <w:pStyle w:val="SOPTableEntry"/>
            <w:rPr>
              <w:rFonts w:ascii="Arial" w:hAnsi="Arial" w:cs="Arial"/>
            </w:rPr>
          </w:pPr>
          <w:r w:rsidRPr="00C97966">
            <w:rPr>
              <w:rFonts w:ascii="Arial" w:hAnsi="Arial" w:cs="Arial"/>
            </w:rPr>
            <w:t>HRP-</w:t>
          </w:r>
          <w:r w:rsidR="00032992">
            <w:rPr>
              <w:rFonts w:ascii="Arial" w:hAnsi="Arial" w:cs="Arial"/>
            </w:rPr>
            <w:t>33</w:t>
          </w:r>
          <w:r w:rsidR="00CB2A51">
            <w:rPr>
              <w:rFonts w:ascii="Arial" w:hAnsi="Arial" w:cs="Arial"/>
            </w:rPr>
            <w:t>7</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CB2A51" w:rsidP="00BC64ED">
          <w:pPr>
            <w:pStyle w:val="SOPTableEntry"/>
            <w:rPr>
              <w:rFonts w:ascii="Arial" w:hAnsi="Arial" w:cs="Arial"/>
            </w:rPr>
          </w:pPr>
          <w:r>
            <w:rPr>
              <w:rFonts w:ascii="Arial" w:hAnsi="Arial" w:cs="Arial"/>
            </w:rPr>
            <w:t>08/01/2019</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167C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167CD">
            <w:rPr>
              <w:rFonts w:ascii="Arial" w:hAnsi="Arial" w:cs="Arial"/>
              <w:noProof/>
            </w:rPr>
            <w:t>2</w:t>
          </w:r>
          <w:r w:rsidRPr="006520A8">
            <w:rPr>
              <w:rFonts w:ascii="Arial" w:hAnsi="Arial" w:cs="Arial"/>
            </w:rPr>
            <w:fldChar w:fldCharType="end"/>
          </w:r>
        </w:p>
      </w:tc>
    </w:tr>
  </w:tbl>
  <w:p w:rsidR="003A4D2B" w:rsidRPr="00321577" w:rsidRDefault="003A4D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njuh1IGFp6oDeNTriRs/PCDj0LcC8Aom5ExkNIvm+UHVeoYxbszswVBCN8aLUvpafo9bIq6ssAgdg8Wxn5Rpg==" w:salt="Ire+h0M0Z7XJo0nwtwSr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266A"/>
    <w:rsid w:val="0000546F"/>
    <w:rsid w:val="000057AE"/>
    <w:rsid w:val="00010E09"/>
    <w:rsid w:val="00016731"/>
    <w:rsid w:val="00016C09"/>
    <w:rsid w:val="00017C6E"/>
    <w:rsid w:val="00020A6D"/>
    <w:rsid w:val="0002128E"/>
    <w:rsid w:val="000212FF"/>
    <w:rsid w:val="00022E5E"/>
    <w:rsid w:val="0002362C"/>
    <w:rsid w:val="000236EE"/>
    <w:rsid w:val="0002399C"/>
    <w:rsid w:val="0002406A"/>
    <w:rsid w:val="00026452"/>
    <w:rsid w:val="000275A6"/>
    <w:rsid w:val="00030328"/>
    <w:rsid w:val="00032992"/>
    <w:rsid w:val="000357C1"/>
    <w:rsid w:val="00036923"/>
    <w:rsid w:val="00041EF1"/>
    <w:rsid w:val="00053A88"/>
    <w:rsid w:val="00056E43"/>
    <w:rsid w:val="000606C0"/>
    <w:rsid w:val="000613BF"/>
    <w:rsid w:val="0006224B"/>
    <w:rsid w:val="00072C40"/>
    <w:rsid w:val="00074EED"/>
    <w:rsid w:val="00076A61"/>
    <w:rsid w:val="000772C1"/>
    <w:rsid w:val="000775C2"/>
    <w:rsid w:val="00087D0D"/>
    <w:rsid w:val="0009263A"/>
    <w:rsid w:val="00093FAD"/>
    <w:rsid w:val="000954C3"/>
    <w:rsid w:val="000A291F"/>
    <w:rsid w:val="000B08BC"/>
    <w:rsid w:val="000B4AAD"/>
    <w:rsid w:val="000B76A2"/>
    <w:rsid w:val="000C00A9"/>
    <w:rsid w:val="000C3E6C"/>
    <w:rsid w:val="000D270F"/>
    <w:rsid w:val="000E048E"/>
    <w:rsid w:val="000E1448"/>
    <w:rsid w:val="000E3E09"/>
    <w:rsid w:val="000E74D4"/>
    <w:rsid w:val="000E7698"/>
    <w:rsid w:val="000F4494"/>
    <w:rsid w:val="000F6B1D"/>
    <w:rsid w:val="0010050B"/>
    <w:rsid w:val="00101768"/>
    <w:rsid w:val="00106598"/>
    <w:rsid w:val="00107476"/>
    <w:rsid w:val="00107567"/>
    <w:rsid w:val="0011335B"/>
    <w:rsid w:val="00122840"/>
    <w:rsid w:val="00123F57"/>
    <w:rsid w:val="00126A31"/>
    <w:rsid w:val="00126CBC"/>
    <w:rsid w:val="00126D3F"/>
    <w:rsid w:val="00126E7C"/>
    <w:rsid w:val="001324B1"/>
    <w:rsid w:val="0013535B"/>
    <w:rsid w:val="00137A9D"/>
    <w:rsid w:val="00137CF3"/>
    <w:rsid w:val="001525A4"/>
    <w:rsid w:val="00153F36"/>
    <w:rsid w:val="0015634D"/>
    <w:rsid w:val="00161453"/>
    <w:rsid w:val="00164891"/>
    <w:rsid w:val="00167008"/>
    <w:rsid w:val="00172C6B"/>
    <w:rsid w:val="001732E3"/>
    <w:rsid w:val="001743E6"/>
    <w:rsid w:val="0018080F"/>
    <w:rsid w:val="00182F94"/>
    <w:rsid w:val="00185020"/>
    <w:rsid w:val="00191219"/>
    <w:rsid w:val="00193A32"/>
    <w:rsid w:val="00194A43"/>
    <w:rsid w:val="001955F7"/>
    <w:rsid w:val="001969D3"/>
    <w:rsid w:val="001A07E7"/>
    <w:rsid w:val="001A2057"/>
    <w:rsid w:val="001A2CB0"/>
    <w:rsid w:val="001A3BC4"/>
    <w:rsid w:val="001A4B9C"/>
    <w:rsid w:val="001B0B71"/>
    <w:rsid w:val="001B56EF"/>
    <w:rsid w:val="001B5832"/>
    <w:rsid w:val="001C2446"/>
    <w:rsid w:val="001D037D"/>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30FD"/>
    <w:rsid w:val="00234E78"/>
    <w:rsid w:val="0023684C"/>
    <w:rsid w:val="002378B8"/>
    <w:rsid w:val="0024306C"/>
    <w:rsid w:val="00251E06"/>
    <w:rsid w:val="00253925"/>
    <w:rsid w:val="00262268"/>
    <w:rsid w:val="00262A31"/>
    <w:rsid w:val="002646F2"/>
    <w:rsid w:val="002674EB"/>
    <w:rsid w:val="002847A8"/>
    <w:rsid w:val="00286D49"/>
    <w:rsid w:val="002879B1"/>
    <w:rsid w:val="002A1A39"/>
    <w:rsid w:val="002A4416"/>
    <w:rsid w:val="002A4EBF"/>
    <w:rsid w:val="002A7B41"/>
    <w:rsid w:val="002B0A07"/>
    <w:rsid w:val="002B51BE"/>
    <w:rsid w:val="002D108D"/>
    <w:rsid w:val="002E01D1"/>
    <w:rsid w:val="002E098E"/>
    <w:rsid w:val="002E47C0"/>
    <w:rsid w:val="0030441F"/>
    <w:rsid w:val="00305112"/>
    <w:rsid w:val="00310100"/>
    <w:rsid w:val="00310B3E"/>
    <w:rsid w:val="00313988"/>
    <w:rsid w:val="00317545"/>
    <w:rsid w:val="00321577"/>
    <w:rsid w:val="003241D3"/>
    <w:rsid w:val="003267B9"/>
    <w:rsid w:val="00336638"/>
    <w:rsid w:val="00336905"/>
    <w:rsid w:val="00352071"/>
    <w:rsid w:val="00355626"/>
    <w:rsid w:val="003631F9"/>
    <w:rsid w:val="00366242"/>
    <w:rsid w:val="003675B4"/>
    <w:rsid w:val="00374FEA"/>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51BF"/>
    <w:rsid w:val="00436538"/>
    <w:rsid w:val="00454F44"/>
    <w:rsid w:val="00456400"/>
    <w:rsid w:val="0045720D"/>
    <w:rsid w:val="004572B6"/>
    <w:rsid w:val="00460273"/>
    <w:rsid w:val="0046138D"/>
    <w:rsid w:val="00462616"/>
    <w:rsid w:val="00463B2C"/>
    <w:rsid w:val="004717DD"/>
    <w:rsid w:val="004732A0"/>
    <w:rsid w:val="004775C1"/>
    <w:rsid w:val="004964D9"/>
    <w:rsid w:val="004A08DA"/>
    <w:rsid w:val="004A209C"/>
    <w:rsid w:val="004A545A"/>
    <w:rsid w:val="004A6735"/>
    <w:rsid w:val="004B0D3D"/>
    <w:rsid w:val="004B2237"/>
    <w:rsid w:val="004B27B7"/>
    <w:rsid w:val="004B57C4"/>
    <w:rsid w:val="004B6C95"/>
    <w:rsid w:val="004C18EF"/>
    <w:rsid w:val="004C49F0"/>
    <w:rsid w:val="004D2272"/>
    <w:rsid w:val="004D2EA4"/>
    <w:rsid w:val="004D350A"/>
    <w:rsid w:val="004E05EA"/>
    <w:rsid w:val="004F1352"/>
    <w:rsid w:val="004F149A"/>
    <w:rsid w:val="00505115"/>
    <w:rsid w:val="00507C4D"/>
    <w:rsid w:val="0052158F"/>
    <w:rsid w:val="00523559"/>
    <w:rsid w:val="00525060"/>
    <w:rsid w:val="00525CFC"/>
    <w:rsid w:val="005309B5"/>
    <w:rsid w:val="00531AF3"/>
    <w:rsid w:val="0055060D"/>
    <w:rsid w:val="0055085F"/>
    <w:rsid w:val="00550A66"/>
    <w:rsid w:val="005534E2"/>
    <w:rsid w:val="005540BA"/>
    <w:rsid w:val="005669F8"/>
    <w:rsid w:val="005712C0"/>
    <w:rsid w:val="00572A90"/>
    <w:rsid w:val="0057438B"/>
    <w:rsid w:val="00574615"/>
    <w:rsid w:val="00577406"/>
    <w:rsid w:val="00580181"/>
    <w:rsid w:val="00595917"/>
    <w:rsid w:val="00595E8A"/>
    <w:rsid w:val="00596EA6"/>
    <w:rsid w:val="005A0732"/>
    <w:rsid w:val="005B5811"/>
    <w:rsid w:val="005B7790"/>
    <w:rsid w:val="005C0B61"/>
    <w:rsid w:val="005C197E"/>
    <w:rsid w:val="005C1FEB"/>
    <w:rsid w:val="005C301F"/>
    <w:rsid w:val="005C309F"/>
    <w:rsid w:val="005C667E"/>
    <w:rsid w:val="005C6E97"/>
    <w:rsid w:val="005C73C4"/>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71BC"/>
    <w:rsid w:val="00627728"/>
    <w:rsid w:val="00635B45"/>
    <w:rsid w:val="00635C5D"/>
    <w:rsid w:val="00635D8D"/>
    <w:rsid w:val="006601AD"/>
    <w:rsid w:val="006614C1"/>
    <w:rsid w:val="00661B56"/>
    <w:rsid w:val="00662B81"/>
    <w:rsid w:val="00663FD1"/>
    <w:rsid w:val="006847B0"/>
    <w:rsid w:val="00685DDD"/>
    <w:rsid w:val="00690C47"/>
    <w:rsid w:val="0069117E"/>
    <w:rsid w:val="00694FED"/>
    <w:rsid w:val="006950F0"/>
    <w:rsid w:val="00697CED"/>
    <w:rsid w:val="006A2E2A"/>
    <w:rsid w:val="006A42ED"/>
    <w:rsid w:val="006A7F27"/>
    <w:rsid w:val="006B2D3F"/>
    <w:rsid w:val="006B4EA2"/>
    <w:rsid w:val="006B56BD"/>
    <w:rsid w:val="006C4A82"/>
    <w:rsid w:val="006D50E3"/>
    <w:rsid w:val="006E07AB"/>
    <w:rsid w:val="006E3D54"/>
    <w:rsid w:val="006E6A10"/>
    <w:rsid w:val="006E6ACC"/>
    <w:rsid w:val="006F2783"/>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49F2"/>
    <w:rsid w:val="00755CDB"/>
    <w:rsid w:val="007621F3"/>
    <w:rsid w:val="007632DC"/>
    <w:rsid w:val="00765CA8"/>
    <w:rsid w:val="00771C55"/>
    <w:rsid w:val="0077377F"/>
    <w:rsid w:val="00782D1E"/>
    <w:rsid w:val="00783284"/>
    <w:rsid w:val="00783BAB"/>
    <w:rsid w:val="00792850"/>
    <w:rsid w:val="0079437B"/>
    <w:rsid w:val="00797DE8"/>
    <w:rsid w:val="007A07E1"/>
    <w:rsid w:val="007A17D5"/>
    <w:rsid w:val="007A497A"/>
    <w:rsid w:val="007B2368"/>
    <w:rsid w:val="007B3E6A"/>
    <w:rsid w:val="007B5D07"/>
    <w:rsid w:val="007B745C"/>
    <w:rsid w:val="007C4FBC"/>
    <w:rsid w:val="007C7B92"/>
    <w:rsid w:val="007D1201"/>
    <w:rsid w:val="007D1258"/>
    <w:rsid w:val="007D15D5"/>
    <w:rsid w:val="007D69DA"/>
    <w:rsid w:val="007E0A5A"/>
    <w:rsid w:val="007E7480"/>
    <w:rsid w:val="007F661D"/>
    <w:rsid w:val="008100FE"/>
    <w:rsid w:val="0081088A"/>
    <w:rsid w:val="008124C4"/>
    <w:rsid w:val="00826164"/>
    <w:rsid w:val="00826805"/>
    <w:rsid w:val="00837738"/>
    <w:rsid w:val="00837B0C"/>
    <w:rsid w:val="008412C0"/>
    <w:rsid w:val="00842A85"/>
    <w:rsid w:val="00850DFF"/>
    <w:rsid w:val="00853295"/>
    <w:rsid w:val="008648CB"/>
    <w:rsid w:val="00875DD7"/>
    <w:rsid w:val="008842B1"/>
    <w:rsid w:val="00892BA4"/>
    <w:rsid w:val="00892E87"/>
    <w:rsid w:val="00895054"/>
    <w:rsid w:val="00895C7A"/>
    <w:rsid w:val="008A1449"/>
    <w:rsid w:val="008A7B0B"/>
    <w:rsid w:val="008B413F"/>
    <w:rsid w:val="008C56A1"/>
    <w:rsid w:val="008D1068"/>
    <w:rsid w:val="008D1C49"/>
    <w:rsid w:val="008D500E"/>
    <w:rsid w:val="008D601B"/>
    <w:rsid w:val="008D6BA0"/>
    <w:rsid w:val="008E4A3F"/>
    <w:rsid w:val="008E5C54"/>
    <w:rsid w:val="008E775A"/>
    <w:rsid w:val="008F22E5"/>
    <w:rsid w:val="008F2398"/>
    <w:rsid w:val="00904983"/>
    <w:rsid w:val="009051E6"/>
    <w:rsid w:val="00907180"/>
    <w:rsid w:val="00913A87"/>
    <w:rsid w:val="009159F2"/>
    <w:rsid w:val="00937698"/>
    <w:rsid w:val="00940464"/>
    <w:rsid w:val="009424D9"/>
    <w:rsid w:val="009425EE"/>
    <w:rsid w:val="00943040"/>
    <w:rsid w:val="00944550"/>
    <w:rsid w:val="00947CAF"/>
    <w:rsid w:val="00951E74"/>
    <w:rsid w:val="00952A8A"/>
    <w:rsid w:val="009560E9"/>
    <w:rsid w:val="00961A01"/>
    <w:rsid w:val="009667C1"/>
    <w:rsid w:val="00967521"/>
    <w:rsid w:val="0097750F"/>
    <w:rsid w:val="009805B5"/>
    <w:rsid w:val="00991225"/>
    <w:rsid w:val="009A0341"/>
    <w:rsid w:val="009A1E54"/>
    <w:rsid w:val="009A331A"/>
    <w:rsid w:val="009A3954"/>
    <w:rsid w:val="009A3EF8"/>
    <w:rsid w:val="009A5C53"/>
    <w:rsid w:val="009A7136"/>
    <w:rsid w:val="009B3DF0"/>
    <w:rsid w:val="009B4189"/>
    <w:rsid w:val="009B748B"/>
    <w:rsid w:val="009D1718"/>
    <w:rsid w:val="009D2310"/>
    <w:rsid w:val="009E2705"/>
    <w:rsid w:val="009F7938"/>
    <w:rsid w:val="00A002DC"/>
    <w:rsid w:val="00A00729"/>
    <w:rsid w:val="00A052E9"/>
    <w:rsid w:val="00A05445"/>
    <w:rsid w:val="00A05CF2"/>
    <w:rsid w:val="00A12725"/>
    <w:rsid w:val="00A13062"/>
    <w:rsid w:val="00A1310D"/>
    <w:rsid w:val="00A13290"/>
    <w:rsid w:val="00A203E7"/>
    <w:rsid w:val="00A204E2"/>
    <w:rsid w:val="00A2351F"/>
    <w:rsid w:val="00A23A86"/>
    <w:rsid w:val="00A23C37"/>
    <w:rsid w:val="00A25B51"/>
    <w:rsid w:val="00A26D09"/>
    <w:rsid w:val="00A44F1D"/>
    <w:rsid w:val="00A5299F"/>
    <w:rsid w:val="00A52D19"/>
    <w:rsid w:val="00A54E8A"/>
    <w:rsid w:val="00A578EE"/>
    <w:rsid w:val="00A57B97"/>
    <w:rsid w:val="00A604ED"/>
    <w:rsid w:val="00A61D30"/>
    <w:rsid w:val="00A673BA"/>
    <w:rsid w:val="00A67BC3"/>
    <w:rsid w:val="00A72120"/>
    <w:rsid w:val="00A747CA"/>
    <w:rsid w:val="00A80BC3"/>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5B22"/>
    <w:rsid w:val="00AC0C51"/>
    <w:rsid w:val="00AC2E8B"/>
    <w:rsid w:val="00AC365D"/>
    <w:rsid w:val="00AC6E24"/>
    <w:rsid w:val="00AD07D8"/>
    <w:rsid w:val="00AD3D85"/>
    <w:rsid w:val="00AD4F01"/>
    <w:rsid w:val="00AD5394"/>
    <w:rsid w:val="00AE0268"/>
    <w:rsid w:val="00AE10B5"/>
    <w:rsid w:val="00AE1DBD"/>
    <w:rsid w:val="00AE2818"/>
    <w:rsid w:val="00AE7761"/>
    <w:rsid w:val="00B014FE"/>
    <w:rsid w:val="00B03DB4"/>
    <w:rsid w:val="00B0703F"/>
    <w:rsid w:val="00B10125"/>
    <w:rsid w:val="00B12468"/>
    <w:rsid w:val="00B25FF0"/>
    <w:rsid w:val="00B37E28"/>
    <w:rsid w:val="00B4278A"/>
    <w:rsid w:val="00B46460"/>
    <w:rsid w:val="00B573AC"/>
    <w:rsid w:val="00B57E10"/>
    <w:rsid w:val="00B60709"/>
    <w:rsid w:val="00B60B83"/>
    <w:rsid w:val="00B65BB1"/>
    <w:rsid w:val="00B71377"/>
    <w:rsid w:val="00B721DC"/>
    <w:rsid w:val="00B72CBE"/>
    <w:rsid w:val="00B86C18"/>
    <w:rsid w:val="00B93A07"/>
    <w:rsid w:val="00BA00A1"/>
    <w:rsid w:val="00BA1461"/>
    <w:rsid w:val="00BA17FA"/>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079F"/>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4D93"/>
    <w:rsid w:val="00C37641"/>
    <w:rsid w:val="00C45CDA"/>
    <w:rsid w:val="00C56B36"/>
    <w:rsid w:val="00C57631"/>
    <w:rsid w:val="00C808C4"/>
    <w:rsid w:val="00C83D97"/>
    <w:rsid w:val="00C85880"/>
    <w:rsid w:val="00C93AEA"/>
    <w:rsid w:val="00CA0F7E"/>
    <w:rsid w:val="00CA1BA2"/>
    <w:rsid w:val="00CA4960"/>
    <w:rsid w:val="00CA66F2"/>
    <w:rsid w:val="00CB0429"/>
    <w:rsid w:val="00CB2A51"/>
    <w:rsid w:val="00CB2E6C"/>
    <w:rsid w:val="00CB7A43"/>
    <w:rsid w:val="00CC3125"/>
    <w:rsid w:val="00CC4F87"/>
    <w:rsid w:val="00CC5120"/>
    <w:rsid w:val="00CC6914"/>
    <w:rsid w:val="00CC6C2B"/>
    <w:rsid w:val="00CC78CF"/>
    <w:rsid w:val="00CE097F"/>
    <w:rsid w:val="00CE32C8"/>
    <w:rsid w:val="00CE3E3F"/>
    <w:rsid w:val="00CE63DD"/>
    <w:rsid w:val="00CF1C3B"/>
    <w:rsid w:val="00CF7DB2"/>
    <w:rsid w:val="00D04330"/>
    <w:rsid w:val="00D054B6"/>
    <w:rsid w:val="00D068B5"/>
    <w:rsid w:val="00D10A06"/>
    <w:rsid w:val="00D1287B"/>
    <w:rsid w:val="00D20637"/>
    <w:rsid w:val="00D213DA"/>
    <w:rsid w:val="00D21E28"/>
    <w:rsid w:val="00D3248D"/>
    <w:rsid w:val="00D429E7"/>
    <w:rsid w:val="00D434D9"/>
    <w:rsid w:val="00D44D6A"/>
    <w:rsid w:val="00D55EAC"/>
    <w:rsid w:val="00D56021"/>
    <w:rsid w:val="00D56B82"/>
    <w:rsid w:val="00D61B09"/>
    <w:rsid w:val="00D716D6"/>
    <w:rsid w:val="00D8010C"/>
    <w:rsid w:val="00D81CF7"/>
    <w:rsid w:val="00D91DFA"/>
    <w:rsid w:val="00DA1AFB"/>
    <w:rsid w:val="00DA21BE"/>
    <w:rsid w:val="00DA5519"/>
    <w:rsid w:val="00DA6C63"/>
    <w:rsid w:val="00DA7B22"/>
    <w:rsid w:val="00DB2D43"/>
    <w:rsid w:val="00DB5050"/>
    <w:rsid w:val="00DB52BD"/>
    <w:rsid w:val="00DC557E"/>
    <w:rsid w:val="00DD1E19"/>
    <w:rsid w:val="00DD4828"/>
    <w:rsid w:val="00DD49C0"/>
    <w:rsid w:val="00DD6D23"/>
    <w:rsid w:val="00DE14FF"/>
    <w:rsid w:val="00DE7DC9"/>
    <w:rsid w:val="00E01921"/>
    <w:rsid w:val="00E03EC4"/>
    <w:rsid w:val="00E0540B"/>
    <w:rsid w:val="00E07539"/>
    <w:rsid w:val="00E11A6E"/>
    <w:rsid w:val="00E1205F"/>
    <w:rsid w:val="00E13D16"/>
    <w:rsid w:val="00E167CD"/>
    <w:rsid w:val="00E168CC"/>
    <w:rsid w:val="00E20324"/>
    <w:rsid w:val="00E21482"/>
    <w:rsid w:val="00E22ED0"/>
    <w:rsid w:val="00E236FA"/>
    <w:rsid w:val="00E259BA"/>
    <w:rsid w:val="00E2750E"/>
    <w:rsid w:val="00E27F05"/>
    <w:rsid w:val="00E401ED"/>
    <w:rsid w:val="00E41C86"/>
    <w:rsid w:val="00E4430C"/>
    <w:rsid w:val="00E52578"/>
    <w:rsid w:val="00E54DA5"/>
    <w:rsid w:val="00E76ADD"/>
    <w:rsid w:val="00E77BA3"/>
    <w:rsid w:val="00E81D78"/>
    <w:rsid w:val="00E953D1"/>
    <w:rsid w:val="00E95D7E"/>
    <w:rsid w:val="00EA3778"/>
    <w:rsid w:val="00EB2000"/>
    <w:rsid w:val="00EB5427"/>
    <w:rsid w:val="00EB6CED"/>
    <w:rsid w:val="00ED1201"/>
    <w:rsid w:val="00ED28AC"/>
    <w:rsid w:val="00ED29B4"/>
    <w:rsid w:val="00ED76CF"/>
    <w:rsid w:val="00EE3BD5"/>
    <w:rsid w:val="00EE6CE2"/>
    <w:rsid w:val="00EF1B36"/>
    <w:rsid w:val="00F0754A"/>
    <w:rsid w:val="00F120B3"/>
    <w:rsid w:val="00F133CB"/>
    <w:rsid w:val="00F13961"/>
    <w:rsid w:val="00F15495"/>
    <w:rsid w:val="00F22175"/>
    <w:rsid w:val="00F22262"/>
    <w:rsid w:val="00F237E7"/>
    <w:rsid w:val="00F3287C"/>
    <w:rsid w:val="00F348B2"/>
    <w:rsid w:val="00F377F5"/>
    <w:rsid w:val="00F40516"/>
    <w:rsid w:val="00F57A07"/>
    <w:rsid w:val="00F63566"/>
    <w:rsid w:val="00F641D0"/>
    <w:rsid w:val="00F679AA"/>
    <w:rsid w:val="00F67A0C"/>
    <w:rsid w:val="00F7089E"/>
    <w:rsid w:val="00F75B05"/>
    <w:rsid w:val="00F773C1"/>
    <w:rsid w:val="00F84E59"/>
    <w:rsid w:val="00F86CBF"/>
    <w:rsid w:val="00F86E7F"/>
    <w:rsid w:val="00FC07E4"/>
    <w:rsid w:val="00FC26DD"/>
    <w:rsid w:val="00FC5EB6"/>
    <w:rsid w:val="00FC6602"/>
    <w:rsid w:val="00FC7F5A"/>
    <w:rsid w:val="00FD1C90"/>
    <w:rsid w:val="00FD6121"/>
    <w:rsid w:val="00FD7409"/>
    <w:rsid w:val="00FD7598"/>
    <w:rsid w:val="00FE0F6D"/>
    <w:rsid w:val="00FE10B3"/>
    <w:rsid w:val="00FE605F"/>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7F951C"/>
  <w15:docId w15:val="{E57AA7D4-52F9-41F8-85DD-95BB24E8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7292-1169-44D3-B1BB-EBF389F9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WORKSHEET: Criteria for Approval</vt:lpstr>
    </vt:vector>
  </TitlesOfParts>
  <Manager>Huron Consulting Group, Inc.</Manager>
  <Company>Huron Consulting Group, Inc.</Company>
  <LinksUpToDate>false</LinksUpToDate>
  <CharactersWithSpaces>5921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2</cp:revision>
  <cp:lastPrinted>2011-01-24T13:50:00Z</cp:lastPrinted>
  <dcterms:created xsi:type="dcterms:W3CDTF">2019-08-23T20:56:00Z</dcterms:created>
  <dcterms:modified xsi:type="dcterms:W3CDTF">2019-08-23T20:56:00Z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