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28545" w14:textId="2A50A4DE" w:rsidR="00B636C8" w:rsidRDefault="00C57EE0">
      <w:pPr>
        <w:spacing w:after="0"/>
        <w:jc w:val="center"/>
        <w:rPr>
          <w:rFonts w:ascii="Arial" w:hAnsi="Arial" w:cs="Arial"/>
          <w:sz w:val="24"/>
          <w:szCs w:val="24"/>
        </w:rPr>
      </w:pPr>
      <w:r>
        <w:rPr>
          <w:rFonts w:ascii="Arial" w:hAnsi="Arial" w:cs="Arial"/>
          <w:sz w:val="24"/>
          <w:szCs w:val="24"/>
        </w:rPr>
        <w:t xml:space="preserve">HRP-309 | </w:t>
      </w:r>
      <w:r w:rsidR="00177860">
        <w:rPr>
          <w:rFonts w:ascii="Arial" w:hAnsi="Arial" w:cs="Arial"/>
          <w:sz w:val="24"/>
          <w:szCs w:val="24"/>
        </w:rPr>
        <w:t>3/29/2024</w:t>
      </w:r>
      <w:r>
        <w:rPr>
          <w:rFonts w:ascii="Arial" w:hAnsi="Arial" w:cs="Arial"/>
          <w:sz w:val="28"/>
          <w:szCs w:val="28"/>
        </w:rPr>
        <w:t xml:space="preserve"> </w:t>
      </w:r>
    </w:p>
    <w:p w14:paraId="5D83C924" w14:textId="77777777" w:rsidR="00B636C8" w:rsidRDefault="00B636C8">
      <w:pPr>
        <w:pStyle w:val="DocumentTitle-HCG"/>
        <w:jc w:val="right"/>
        <w:rPr>
          <w:sz w:val="24"/>
          <w:szCs w:val="24"/>
        </w:rPr>
      </w:pPr>
    </w:p>
    <w:p w14:paraId="1CF07FA7" w14:textId="17B7B427" w:rsidR="00B636C8" w:rsidRDefault="00C57EE0">
      <w:pPr>
        <w:pStyle w:val="DocumentTitle-HCG"/>
        <w:spacing w:line="360" w:lineRule="auto"/>
      </w:pPr>
      <w:r>
        <w:t>WORKSHEET: Ancillary Review Matrix</w:t>
      </w:r>
    </w:p>
    <w:p w14:paraId="7AE390B3" w14:textId="77777777" w:rsidR="00B636C8" w:rsidRPr="000D731A" w:rsidRDefault="00C57EE0">
      <w:pPr>
        <w:pStyle w:val="PrimarySectionText-HCG"/>
        <w:ind w:left="0" w:firstLine="0"/>
        <w:rPr>
          <w:rFonts w:cs="Arial"/>
        </w:rPr>
      </w:pPr>
      <w:r w:rsidRPr="000D731A">
        <w:rPr>
          <w:rFonts w:cs="Arial"/>
        </w:rPr>
        <w:t xml:space="preserve">Ancillary reviews are reviews by other compliance groups or individuals that inform the IRB’s review of a new study or a modification to an existing study. </w:t>
      </w:r>
    </w:p>
    <w:p w14:paraId="073312F9" w14:textId="77777777" w:rsidR="00B636C8" w:rsidRPr="000D731A" w:rsidRDefault="00C57EE0">
      <w:pPr>
        <w:pStyle w:val="PrimarySectionText-HCG"/>
        <w:numPr>
          <w:ilvl w:val="0"/>
          <w:numId w:val="6"/>
        </w:numPr>
        <w:rPr>
          <w:rFonts w:cs="Arial"/>
        </w:rPr>
      </w:pPr>
      <w:r w:rsidRPr="000D731A">
        <w:rPr>
          <w:rFonts w:cs="Arial"/>
        </w:rPr>
        <w:t xml:space="preserve">Ancillary reviews may be assigned by either the researcher or the IRB.  </w:t>
      </w:r>
    </w:p>
    <w:p w14:paraId="4D6B9C52" w14:textId="77777777" w:rsidR="00B636C8" w:rsidRPr="000D731A" w:rsidRDefault="00C57EE0">
      <w:pPr>
        <w:pStyle w:val="PrimarySectionText-HCG"/>
        <w:numPr>
          <w:ilvl w:val="0"/>
          <w:numId w:val="6"/>
        </w:numPr>
        <w:rPr>
          <w:rFonts w:cs="Arial"/>
        </w:rPr>
      </w:pPr>
      <w:r w:rsidRPr="000D731A">
        <w:rPr>
          <w:rFonts w:cs="Arial"/>
        </w:rPr>
        <w:t xml:space="preserve">The IRB typically assigns ancillary reviews during the pre-review of a submission.  </w:t>
      </w:r>
    </w:p>
    <w:p w14:paraId="3458C2AB" w14:textId="77777777" w:rsidR="00B636C8" w:rsidRPr="000D731A" w:rsidRDefault="00C57EE0">
      <w:pPr>
        <w:pStyle w:val="PrimarySectionText-HCG"/>
        <w:numPr>
          <w:ilvl w:val="0"/>
          <w:numId w:val="6"/>
        </w:numPr>
        <w:rPr>
          <w:rFonts w:cs="Arial"/>
        </w:rPr>
      </w:pPr>
      <w:r w:rsidRPr="000D731A">
        <w:rPr>
          <w:rFonts w:cs="Arial"/>
        </w:rPr>
        <w:t xml:space="preserve">Once an ancillary review is triggered, researchers should work directly with those entities to ensure compliance. </w:t>
      </w:r>
    </w:p>
    <w:p w14:paraId="4C30DB88" w14:textId="20D93830" w:rsidR="00B636C8" w:rsidRPr="000D731A" w:rsidRDefault="00C57EE0">
      <w:pPr>
        <w:pStyle w:val="PrimarySectionText-HCG"/>
        <w:numPr>
          <w:ilvl w:val="0"/>
          <w:numId w:val="6"/>
        </w:numPr>
        <w:rPr>
          <w:rFonts w:cs="Arial"/>
          <w:color w:val="000000" w:themeColor="text1"/>
        </w:rPr>
      </w:pPr>
      <w:r w:rsidRPr="000D731A">
        <w:rPr>
          <w:rFonts w:cs="Arial"/>
          <w:color w:val="000000" w:themeColor="text1"/>
        </w:rPr>
        <w:t xml:space="preserve">The ancillary review in Huron IRB is intended to support compliance across multiple oversight groups and not replace review processes by other compliance groups. </w:t>
      </w:r>
    </w:p>
    <w:p w14:paraId="0962E034" w14:textId="7EE1A7E9" w:rsidR="00B636C8" w:rsidRPr="000D731A" w:rsidRDefault="00C57EE0">
      <w:pPr>
        <w:pStyle w:val="PrimarySectionText-HCG"/>
        <w:numPr>
          <w:ilvl w:val="0"/>
          <w:numId w:val="6"/>
        </w:numPr>
        <w:rPr>
          <w:rFonts w:cs="Arial"/>
        </w:rPr>
      </w:pPr>
      <w:r w:rsidRPr="000D731A">
        <w:rPr>
          <w:rFonts w:cs="Arial"/>
        </w:rPr>
        <w:t>Ancillary reviews are not assigned by the IRB if a project does not meet the federal definition of Human Subject Research.</w:t>
      </w:r>
    </w:p>
    <w:p w14:paraId="313FDEAB" w14:textId="77777777" w:rsidR="00B636C8" w:rsidRPr="000D731A" w:rsidRDefault="00B636C8">
      <w:pPr>
        <w:pStyle w:val="PrimarySectionText-HCG"/>
        <w:rPr>
          <w:rFonts w:cs="Arial"/>
        </w:rPr>
      </w:pPr>
    </w:p>
    <w:p w14:paraId="7A4E0D4D" w14:textId="77777777" w:rsidR="00B636C8" w:rsidRPr="000D731A" w:rsidRDefault="00C57EE0">
      <w:pPr>
        <w:pStyle w:val="PrimarySectionText-HCG"/>
        <w:rPr>
          <w:rFonts w:cs="Arial"/>
        </w:rPr>
      </w:pPr>
      <w:r w:rsidRPr="000D731A">
        <w:rPr>
          <w:rFonts w:cs="Arial"/>
        </w:rPr>
        <w:t xml:space="preserve">The impact of an ancillary review group’s approval on the IRB’s review process varies.  </w:t>
      </w:r>
    </w:p>
    <w:p w14:paraId="1F61323E" w14:textId="77777777" w:rsidR="00B636C8" w:rsidRPr="000D731A" w:rsidRDefault="00C57EE0">
      <w:pPr>
        <w:pStyle w:val="PrimarySectionText-HCG"/>
        <w:numPr>
          <w:ilvl w:val="0"/>
          <w:numId w:val="7"/>
        </w:numPr>
        <w:rPr>
          <w:rFonts w:cs="Arial"/>
        </w:rPr>
      </w:pPr>
      <w:r w:rsidRPr="000D731A">
        <w:rPr>
          <w:rFonts w:cs="Arial"/>
        </w:rPr>
        <w:t xml:space="preserve">Typically, final IRB approval is held until the ancillary group concludes their review. </w:t>
      </w:r>
    </w:p>
    <w:p w14:paraId="6ED14452" w14:textId="77777777" w:rsidR="00B636C8" w:rsidRPr="000D731A" w:rsidRDefault="00C57EE0">
      <w:pPr>
        <w:pStyle w:val="PrimarySectionText-HCG"/>
        <w:numPr>
          <w:ilvl w:val="0"/>
          <w:numId w:val="7"/>
        </w:numPr>
        <w:rPr>
          <w:rFonts w:cs="Arial"/>
        </w:rPr>
      </w:pPr>
      <w:r w:rsidRPr="000D731A">
        <w:rPr>
          <w:rFonts w:cs="Arial"/>
        </w:rPr>
        <w:t>In some instances, the IRB will not initiate its review without documentation of approval by critical review entities.</w:t>
      </w:r>
    </w:p>
    <w:p w14:paraId="6D36E8C9" w14:textId="77777777" w:rsidR="00B636C8" w:rsidRPr="000D731A" w:rsidRDefault="00C57EE0">
      <w:pPr>
        <w:pStyle w:val="PrimarySectionText-HCG"/>
        <w:numPr>
          <w:ilvl w:val="0"/>
          <w:numId w:val="7"/>
        </w:numPr>
        <w:rPr>
          <w:rFonts w:cs="Arial"/>
        </w:rPr>
      </w:pPr>
      <w:r w:rsidRPr="000D731A">
        <w:rPr>
          <w:rFonts w:cs="Arial"/>
        </w:rPr>
        <w:t>The IRB will not hold for the completion of ancillary reviews for studies that meet exempt criteria.</w:t>
      </w:r>
    </w:p>
    <w:p w14:paraId="6E8D4F8B" w14:textId="7024D3BC" w:rsidR="00B636C8" w:rsidRPr="000D731A" w:rsidRDefault="00C57EE0">
      <w:pPr>
        <w:pStyle w:val="PrimarySectionText-HCG"/>
        <w:numPr>
          <w:ilvl w:val="0"/>
          <w:numId w:val="7"/>
        </w:numPr>
        <w:rPr>
          <w:rFonts w:cs="Arial"/>
          <w:color w:val="000000" w:themeColor="text1"/>
        </w:rPr>
      </w:pPr>
      <w:r w:rsidRPr="000D731A">
        <w:rPr>
          <w:rFonts w:cs="Arial"/>
          <w:color w:val="000000" w:themeColor="text1"/>
        </w:rPr>
        <w:t>Documentation of approval by an ancillary review group is provided to the researcher. The researcher is responsible for uploading that documentation in the “Supporting Documents” section of the Huron IRB application to which it relates.</w:t>
      </w:r>
    </w:p>
    <w:p w14:paraId="7B8FDBD3" w14:textId="77777777" w:rsidR="005727E3" w:rsidRDefault="005727E3" w:rsidP="000D731A">
      <w:pPr>
        <w:pStyle w:val="PrimarySectionText-HCG"/>
        <w:rPr>
          <w:rFonts w:cs="Arial"/>
          <w:strike/>
        </w:rPr>
      </w:pPr>
    </w:p>
    <w:p w14:paraId="34DE1A4F" w14:textId="77777777" w:rsidR="005727E3" w:rsidRDefault="005727E3" w:rsidP="000D731A">
      <w:pPr>
        <w:pStyle w:val="PrimarySectionText-HCG"/>
        <w:rPr>
          <w:rFonts w:cs="Arial"/>
          <w:strike/>
        </w:rPr>
      </w:pPr>
    </w:p>
    <w:p w14:paraId="3267064A" w14:textId="58F11C78" w:rsidR="000D731A" w:rsidRPr="000D731A" w:rsidRDefault="000D731A" w:rsidP="000D731A">
      <w:pPr>
        <w:pStyle w:val="PrimarySectionText-HCG"/>
        <w:rPr>
          <w:rFonts w:cs="Arial"/>
          <w:b/>
          <w:bCs/>
        </w:rPr>
      </w:pPr>
      <w:r w:rsidRPr="000D731A">
        <w:rPr>
          <w:rFonts w:cs="Arial"/>
          <w:b/>
          <w:bCs/>
        </w:rPr>
        <w:lastRenderedPageBreak/>
        <w:t xml:space="preserve">How can I view my study’s assigned ancillary reviews? </w:t>
      </w:r>
    </w:p>
    <w:p w14:paraId="35691F8C" w14:textId="77777777" w:rsidR="000D731A" w:rsidRPr="000D731A" w:rsidRDefault="000D731A" w:rsidP="000D731A">
      <w:pPr>
        <w:pStyle w:val="PrimarySectionText-HCG"/>
        <w:rPr>
          <w:rFonts w:cs="Arial"/>
        </w:rPr>
      </w:pPr>
      <w:r w:rsidRPr="000D731A">
        <w:rPr>
          <w:rFonts w:cs="Arial"/>
        </w:rPr>
        <w:t>The assigned ancillary reviews and information about their review is available under the “Reviews” tab on a study page.</w:t>
      </w:r>
    </w:p>
    <w:p w14:paraId="1CEC0F75" w14:textId="77777777" w:rsidR="000D731A" w:rsidRPr="000D731A" w:rsidRDefault="000D731A" w:rsidP="000D731A">
      <w:pPr>
        <w:pStyle w:val="PrimarySectionText-HCG"/>
        <w:rPr>
          <w:rFonts w:cs="Arial"/>
          <w:b/>
          <w:bCs/>
        </w:rPr>
      </w:pPr>
      <w:r w:rsidRPr="000D731A">
        <w:rPr>
          <w:rFonts w:cs="Arial"/>
          <w:b/>
          <w:bCs/>
        </w:rPr>
        <w:t>Are ancillary reviews required when the IRB review is conducted outside of the University of Minnesota (commercial IRB, external IRB reviews)?</w:t>
      </w:r>
    </w:p>
    <w:p w14:paraId="2719CDED" w14:textId="77777777" w:rsidR="000D731A" w:rsidRPr="000D731A" w:rsidRDefault="000D731A" w:rsidP="000D731A">
      <w:pPr>
        <w:pStyle w:val="PrimarySectionText-HCG"/>
        <w:rPr>
          <w:rFonts w:cs="Arial"/>
        </w:rPr>
      </w:pPr>
      <w:r w:rsidRPr="000D731A">
        <w:rPr>
          <w:rFonts w:cs="Arial"/>
        </w:rPr>
        <w:t>Yes, all ancillary reviews and institutional requirements continue to apply even if the UMN IRB has ceded its review to external IRB. IMPORTANT NOTE: You may have ongoing obligations to ancillary reviewers that differ from HRPP/ETHOS requirements for studies relying on an external IRB. You are responsible for working with those ancillary review groups for what may be required over the course of the study (e.g., Fairview Research Administration, Radiation Safety, CPRC, etc.).</w:t>
      </w:r>
    </w:p>
    <w:p w14:paraId="23FDCF72" w14:textId="77777777" w:rsidR="000D731A" w:rsidRPr="000D731A" w:rsidRDefault="000D731A" w:rsidP="000D731A">
      <w:pPr>
        <w:pStyle w:val="PrimarySectionText-HCG"/>
        <w:rPr>
          <w:rFonts w:cs="Arial"/>
          <w:b/>
          <w:bCs/>
        </w:rPr>
      </w:pPr>
      <w:r w:rsidRPr="000D731A">
        <w:rPr>
          <w:rFonts w:cs="Arial"/>
          <w:b/>
          <w:bCs/>
        </w:rPr>
        <w:t>What does it mean when “no” is selected to “is a response required?”  Why is the group assigned if no response is needed?</w:t>
      </w:r>
    </w:p>
    <w:p w14:paraId="153E3D14" w14:textId="5B0C13CA" w:rsidR="000D731A" w:rsidRDefault="000D731A" w:rsidP="000D731A">
      <w:pPr>
        <w:pStyle w:val="PrimarySectionText-HCG"/>
        <w:ind w:left="0" w:firstLine="0"/>
        <w:rPr>
          <w:rFonts w:cs="Arial"/>
        </w:rPr>
      </w:pPr>
      <w:r w:rsidRPr="000D731A">
        <w:rPr>
          <w:rFonts w:cs="Arial"/>
        </w:rPr>
        <w:t xml:space="preserve">Ancillary reviews groups often have both initial and ongoing oversight responsibilities. If a study is submitted with documentation of an ancillary review group’s approval, the group will still be assigned as an ancillary reviewer.  In these cases, the ETHOS Reviews tab for the study will indicate that a response is not required. The group is tagged in ETHOS only for the purpose of allowing ongoing access to the study and all subsequent submissions.   </w:t>
      </w:r>
    </w:p>
    <w:p w14:paraId="13A61167" w14:textId="0EC92F54" w:rsidR="00B636C8" w:rsidRPr="005C4629" w:rsidRDefault="00C57EE0">
      <w:pPr>
        <w:pStyle w:val="PrimarySectionText-HCG"/>
        <w:ind w:left="0" w:firstLine="0"/>
        <w:rPr>
          <w:rFonts w:cs="Arial"/>
          <w:b/>
          <w:bCs/>
        </w:rPr>
      </w:pPr>
      <w:r w:rsidRPr="005C4629">
        <w:rPr>
          <w:rFonts w:cs="Arial"/>
          <w:b/>
          <w:bCs/>
        </w:rPr>
        <w:t>The tables below highlight</w:t>
      </w:r>
      <w:r w:rsidR="002E23F7" w:rsidRPr="005C4629">
        <w:rPr>
          <w:rFonts w:cs="Arial"/>
          <w:b/>
          <w:bCs/>
        </w:rPr>
        <w:t>s</w:t>
      </w:r>
      <w:r w:rsidRPr="005C4629">
        <w:rPr>
          <w:rFonts w:cs="Arial"/>
          <w:b/>
          <w:bCs/>
        </w:rPr>
        <w:t xml:space="preserve"> the ancillary review groups available and illustrates the typical impact an ancillary review has on IRB review. Please contact the IRB or relevant ancillary review contacts (listed below) with any questions about the ancillary review process or specific requirements.</w:t>
      </w:r>
      <w:r w:rsidRPr="005C4629">
        <w:rPr>
          <w:rStyle w:val="EndnoteReference"/>
          <w:rFonts w:cs="Arial"/>
          <w:b/>
          <w:bCs/>
        </w:rPr>
        <w:endnoteReference w:id="2"/>
      </w:r>
      <w:r w:rsidRPr="005C4629">
        <w:rPr>
          <w:rFonts w:cs="Arial"/>
          <w:b/>
          <w:bCs/>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615"/>
        <w:gridCol w:w="1620"/>
        <w:gridCol w:w="2790"/>
        <w:gridCol w:w="2520"/>
        <w:gridCol w:w="2070"/>
        <w:gridCol w:w="1620"/>
        <w:gridCol w:w="2155"/>
      </w:tblGrid>
      <w:tr w:rsidR="00257E21" w14:paraId="1F6E7712" w14:textId="77777777" w:rsidTr="005727E3">
        <w:trPr>
          <w:cantSplit/>
          <w:tblHeader/>
        </w:trPr>
        <w:tc>
          <w:tcPr>
            <w:tcW w:w="1615" w:type="dxa"/>
            <w:shd w:val="clear" w:color="auto" w:fill="9CC2E5" w:themeFill="accent5" w:themeFillTint="99"/>
          </w:tcPr>
          <w:p w14:paraId="6B33A94E" w14:textId="77777777" w:rsidR="00B636C8" w:rsidRPr="005C4629" w:rsidRDefault="00C57EE0" w:rsidP="00257E21">
            <w:pPr>
              <w:rPr>
                <w:rFonts w:cstheme="minorHAnsi"/>
                <w:b/>
                <w:bCs/>
                <w:sz w:val="20"/>
                <w:szCs w:val="20"/>
              </w:rPr>
            </w:pPr>
            <w:r w:rsidRPr="005C4629">
              <w:rPr>
                <w:rFonts w:cstheme="minorHAnsi"/>
                <w:b/>
                <w:bCs/>
                <w:sz w:val="20"/>
                <w:szCs w:val="20"/>
              </w:rPr>
              <w:t>Organization</w:t>
            </w:r>
          </w:p>
        </w:tc>
        <w:tc>
          <w:tcPr>
            <w:tcW w:w="1620" w:type="dxa"/>
            <w:shd w:val="clear" w:color="auto" w:fill="9CC2E5" w:themeFill="accent5" w:themeFillTint="99"/>
          </w:tcPr>
          <w:p w14:paraId="37F2F2D9" w14:textId="77777777" w:rsidR="00B636C8" w:rsidRPr="005C4629" w:rsidRDefault="00C57EE0" w:rsidP="00257E21">
            <w:pPr>
              <w:rPr>
                <w:rFonts w:cstheme="minorHAnsi"/>
                <w:b/>
                <w:bCs/>
                <w:sz w:val="20"/>
                <w:szCs w:val="20"/>
              </w:rPr>
            </w:pPr>
            <w:r w:rsidRPr="005C4629">
              <w:rPr>
                <w:rFonts w:cstheme="minorHAnsi"/>
                <w:b/>
                <w:bCs/>
                <w:sz w:val="20"/>
                <w:szCs w:val="20"/>
              </w:rPr>
              <w:t>Review Type</w:t>
            </w:r>
          </w:p>
        </w:tc>
        <w:tc>
          <w:tcPr>
            <w:tcW w:w="2790" w:type="dxa"/>
            <w:shd w:val="clear" w:color="auto" w:fill="9CC2E5" w:themeFill="accent5" w:themeFillTint="99"/>
          </w:tcPr>
          <w:p w14:paraId="7E5B3CAE" w14:textId="77777777" w:rsidR="00B636C8" w:rsidRPr="005C4629" w:rsidRDefault="00C57EE0" w:rsidP="00257E21">
            <w:pPr>
              <w:rPr>
                <w:rFonts w:cstheme="minorHAnsi"/>
                <w:b/>
                <w:bCs/>
                <w:sz w:val="20"/>
                <w:szCs w:val="20"/>
              </w:rPr>
            </w:pPr>
            <w:r w:rsidRPr="005C4629">
              <w:rPr>
                <w:rFonts w:cstheme="minorHAnsi"/>
                <w:b/>
                <w:bCs/>
                <w:sz w:val="20"/>
                <w:szCs w:val="20"/>
              </w:rPr>
              <w:t>Ancillary Review Triggered by</w:t>
            </w:r>
          </w:p>
        </w:tc>
        <w:tc>
          <w:tcPr>
            <w:tcW w:w="2520" w:type="dxa"/>
            <w:shd w:val="clear" w:color="auto" w:fill="9CC2E5" w:themeFill="accent5" w:themeFillTint="99"/>
          </w:tcPr>
          <w:p w14:paraId="0D33D4DA" w14:textId="77777777" w:rsidR="00B636C8" w:rsidRPr="005C4629" w:rsidRDefault="00C57EE0" w:rsidP="00257E21">
            <w:pPr>
              <w:rPr>
                <w:rFonts w:cstheme="minorHAnsi"/>
                <w:b/>
                <w:bCs/>
                <w:sz w:val="20"/>
                <w:szCs w:val="20"/>
              </w:rPr>
            </w:pPr>
            <w:r w:rsidRPr="005C4629">
              <w:rPr>
                <w:rFonts w:cstheme="minorHAnsi"/>
                <w:b/>
                <w:bCs/>
                <w:sz w:val="20"/>
                <w:szCs w:val="20"/>
              </w:rPr>
              <w:t>Affected IRB Submission Types</w:t>
            </w:r>
          </w:p>
        </w:tc>
        <w:tc>
          <w:tcPr>
            <w:tcW w:w="2070" w:type="dxa"/>
            <w:shd w:val="clear" w:color="auto" w:fill="9CC2E5" w:themeFill="accent5" w:themeFillTint="99"/>
          </w:tcPr>
          <w:p w14:paraId="18796991" w14:textId="77777777" w:rsidR="00B636C8" w:rsidRPr="005C4629" w:rsidRDefault="00C57EE0" w:rsidP="00257E21">
            <w:pPr>
              <w:rPr>
                <w:rFonts w:cstheme="minorHAnsi"/>
                <w:b/>
                <w:bCs/>
                <w:sz w:val="20"/>
                <w:szCs w:val="20"/>
              </w:rPr>
            </w:pPr>
            <w:r w:rsidRPr="005C4629">
              <w:rPr>
                <w:rFonts w:cstheme="minorHAnsi"/>
                <w:b/>
                <w:bCs/>
                <w:sz w:val="20"/>
                <w:szCs w:val="20"/>
              </w:rPr>
              <w:t>Contact Info</w:t>
            </w:r>
          </w:p>
        </w:tc>
        <w:tc>
          <w:tcPr>
            <w:tcW w:w="1620" w:type="dxa"/>
            <w:shd w:val="clear" w:color="auto" w:fill="9CC2E5" w:themeFill="accent5" w:themeFillTint="99"/>
          </w:tcPr>
          <w:p w14:paraId="04D3A643" w14:textId="79D100C0" w:rsidR="00B636C8" w:rsidRPr="005C4629" w:rsidRDefault="00C57EE0" w:rsidP="00257E21">
            <w:pPr>
              <w:rPr>
                <w:rFonts w:cstheme="minorHAnsi"/>
                <w:b/>
                <w:bCs/>
                <w:sz w:val="20"/>
                <w:szCs w:val="20"/>
              </w:rPr>
            </w:pPr>
            <w:r w:rsidRPr="005C4629">
              <w:rPr>
                <w:rFonts w:cstheme="minorHAnsi"/>
                <w:b/>
                <w:bCs/>
                <w:sz w:val="20"/>
                <w:szCs w:val="20"/>
              </w:rPr>
              <w:t xml:space="preserve">How to </w:t>
            </w:r>
            <w:r w:rsidR="000D731A" w:rsidRPr="005C4629">
              <w:rPr>
                <w:rFonts w:cstheme="minorHAnsi"/>
                <w:b/>
                <w:bCs/>
                <w:sz w:val="20"/>
                <w:szCs w:val="20"/>
              </w:rPr>
              <w:t>Request</w:t>
            </w:r>
            <w:r w:rsidRPr="005C4629">
              <w:rPr>
                <w:rFonts w:cstheme="minorHAnsi"/>
                <w:b/>
                <w:bCs/>
                <w:sz w:val="20"/>
                <w:szCs w:val="20"/>
              </w:rPr>
              <w:t xml:space="preserve"> Review</w:t>
            </w:r>
          </w:p>
        </w:tc>
        <w:tc>
          <w:tcPr>
            <w:tcW w:w="2155" w:type="dxa"/>
            <w:shd w:val="clear" w:color="auto" w:fill="9CC2E5" w:themeFill="accent5" w:themeFillTint="99"/>
          </w:tcPr>
          <w:p w14:paraId="469E0FDD" w14:textId="77777777" w:rsidR="00B636C8" w:rsidRPr="005C4629" w:rsidRDefault="00C57EE0" w:rsidP="00257E21">
            <w:pPr>
              <w:rPr>
                <w:rFonts w:cstheme="minorHAnsi"/>
                <w:b/>
                <w:bCs/>
                <w:sz w:val="20"/>
                <w:szCs w:val="20"/>
              </w:rPr>
            </w:pPr>
            <w:r w:rsidRPr="005C4629">
              <w:rPr>
                <w:rFonts w:cstheme="minorHAnsi"/>
                <w:b/>
                <w:bCs/>
                <w:sz w:val="20"/>
                <w:szCs w:val="20"/>
              </w:rPr>
              <w:t>Impact on IRB Review</w:t>
            </w:r>
          </w:p>
          <w:p w14:paraId="38D35B9D" w14:textId="21450F0E" w:rsidR="00B636C8" w:rsidRPr="005C4629" w:rsidRDefault="00C57EE0" w:rsidP="00257E21">
            <w:pPr>
              <w:rPr>
                <w:rFonts w:cstheme="minorHAnsi"/>
                <w:sz w:val="20"/>
                <w:szCs w:val="20"/>
              </w:rPr>
            </w:pPr>
            <w:r w:rsidRPr="005C4629">
              <w:rPr>
                <w:rFonts w:cstheme="minorHAnsi"/>
                <w:sz w:val="18"/>
                <w:szCs w:val="18"/>
              </w:rPr>
              <w:t>(prior to, after, or parallel with)</w:t>
            </w:r>
            <w:r w:rsidR="002E1B18">
              <w:rPr>
                <w:rStyle w:val="EndnoteReference"/>
                <w:rFonts w:cstheme="minorHAnsi"/>
                <w:sz w:val="18"/>
                <w:szCs w:val="18"/>
              </w:rPr>
              <w:endnoteReference w:id="3"/>
            </w:r>
          </w:p>
        </w:tc>
      </w:tr>
      <w:tr w:rsidR="00257E21" w14:paraId="51008FCC" w14:textId="77777777" w:rsidTr="005727E3">
        <w:trPr>
          <w:cantSplit/>
        </w:trPr>
        <w:tc>
          <w:tcPr>
            <w:tcW w:w="1615" w:type="dxa"/>
          </w:tcPr>
          <w:p w14:paraId="6BDAA9A1" w14:textId="3CCA3BC1" w:rsidR="00B636C8" w:rsidRPr="00627DB4" w:rsidRDefault="000D731A" w:rsidP="00257E21">
            <w:pPr>
              <w:rPr>
                <w:rFonts w:cstheme="minorHAnsi"/>
              </w:rPr>
            </w:pPr>
            <w:r w:rsidRPr="00627DB4">
              <w:rPr>
                <w:rFonts w:cstheme="minorHAnsi"/>
              </w:rPr>
              <w:t>Fairview</w:t>
            </w:r>
          </w:p>
        </w:tc>
        <w:tc>
          <w:tcPr>
            <w:tcW w:w="1620" w:type="dxa"/>
          </w:tcPr>
          <w:p w14:paraId="3EAA7941" w14:textId="78233690" w:rsidR="00B636C8" w:rsidRDefault="000D731A" w:rsidP="00257E21">
            <w:pPr>
              <w:rPr>
                <w:rFonts w:ascii="Arial" w:hAnsi="Arial" w:cs="Arial"/>
              </w:rPr>
            </w:pPr>
            <w:r>
              <w:rPr>
                <w:rFonts w:ascii="Calibri" w:hAnsi="Calibri" w:cs="Calibri"/>
                <w:color w:val="000000"/>
                <w:sz w:val="20"/>
                <w:szCs w:val="20"/>
              </w:rPr>
              <w:t>Fairview Compliance – billing compliance, recruitment, IDS compliance</w:t>
            </w:r>
          </w:p>
        </w:tc>
        <w:tc>
          <w:tcPr>
            <w:tcW w:w="2790" w:type="dxa"/>
          </w:tcPr>
          <w:p w14:paraId="2CFA7E84" w14:textId="375D6B45" w:rsidR="00B636C8" w:rsidRDefault="000D731A" w:rsidP="00257E21">
            <w:pPr>
              <w:rPr>
                <w:rFonts w:ascii="Arial" w:hAnsi="Arial" w:cs="Arial"/>
              </w:rPr>
            </w:pPr>
            <w:r>
              <w:rPr>
                <w:rFonts w:ascii="Calibri" w:hAnsi="Calibri" w:cs="Calibri"/>
                <w:color w:val="000000"/>
                <w:sz w:val="20"/>
                <w:szCs w:val="20"/>
              </w:rPr>
              <w:t>When Fairview/MHealth staff, locations or resources are indicated in ETHOS or in protocol (see PI affiliation, study staff and sites and resources pages) or when AHC-IE is used</w:t>
            </w:r>
          </w:p>
        </w:tc>
        <w:tc>
          <w:tcPr>
            <w:tcW w:w="2520" w:type="dxa"/>
          </w:tcPr>
          <w:p w14:paraId="5EA5819E" w14:textId="77777777" w:rsidR="000D731A" w:rsidRDefault="000D731A" w:rsidP="00257E21">
            <w:pPr>
              <w:pStyle w:val="NormalWeb"/>
              <w:numPr>
                <w:ilvl w:val="0"/>
                <w:numId w:val="8"/>
              </w:numPr>
              <w:spacing w:before="0" w:beforeAutospacing="0" w:after="0" w:afterAutospacing="0"/>
              <w:ind w:left="338"/>
              <w:textAlignment w:val="baseline"/>
              <w:rPr>
                <w:rFonts w:ascii="Arial" w:hAnsi="Arial" w:cs="Arial"/>
                <w:color w:val="000000"/>
                <w:sz w:val="20"/>
                <w:szCs w:val="20"/>
              </w:rPr>
            </w:pPr>
            <w:r>
              <w:rPr>
                <w:rFonts w:ascii="Calibri" w:hAnsi="Calibri" w:cs="Calibri"/>
                <w:color w:val="000000"/>
                <w:sz w:val="20"/>
                <w:szCs w:val="20"/>
              </w:rPr>
              <w:t>Initial Review</w:t>
            </w:r>
          </w:p>
          <w:p w14:paraId="0E6A8223" w14:textId="77777777" w:rsidR="000D731A" w:rsidRDefault="000D731A" w:rsidP="00257E21">
            <w:pPr>
              <w:pStyle w:val="NormalWeb"/>
              <w:numPr>
                <w:ilvl w:val="0"/>
                <w:numId w:val="8"/>
              </w:numPr>
              <w:spacing w:before="0" w:beforeAutospacing="0" w:after="0" w:afterAutospacing="0"/>
              <w:ind w:left="338"/>
              <w:textAlignment w:val="baseline"/>
              <w:rPr>
                <w:rFonts w:ascii="Arial" w:hAnsi="Arial" w:cs="Arial"/>
                <w:color w:val="000000"/>
                <w:sz w:val="20"/>
                <w:szCs w:val="20"/>
              </w:rPr>
            </w:pPr>
            <w:r>
              <w:rPr>
                <w:rFonts w:ascii="Calibri" w:hAnsi="Calibri" w:cs="Calibri"/>
                <w:color w:val="000000"/>
                <w:sz w:val="20"/>
                <w:szCs w:val="20"/>
              </w:rPr>
              <w:t xml:space="preserve">Modifications that add Fairview resources, staff or locations or that alter the Fairview recruitment </w:t>
            </w:r>
            <w:proofErr w:type="gramStart"/>
            <w:r>
              <w:rPr>
                <w:rFonts w:ascii="Calibri" w:hAnsi="Calibri" w:cs="Calibri"/>
                <w:color w:val="000000"/>
                <w:sz w:val="20"/>
                <w:szCs w:val="20"/>
              </w:rPr>
              <w:t>plan</w:t>
            </w:r>
            <w:proofErr w:type="gramEnd"/>
          </w:p>
          <w:p w14:paraId="270F363C" w14:textId="77777777" w:rsidR="000D731A" w:rsidRDefault="000D731A" w:rsidP="00257E21">
            <w:pPr>
              <w:pStyle w:val="NormalWeb"/>
              <w:numPr>
                <w:ilvl w:val="0"/>
                <w:numId w:val="8"/>
              </w:numPr>
              <w:spacing w:before="0" w:beforeAutospacing="0" w:after="0" w:afterAutospacing="0"/>
              <w:ind w:left="338"/>
              <w:textAlignment w:val="baseline"/>
              <w:rPr>
                <w:rFonts w:ascii="Arial" w:hAnsi="Arial" w:cs="Arial"/>
                <w:color w:val="000000"/>
                <w:sz w:val="20"/>
                <w:szCs w:val="20"/>
              </w:rPr>
            </w:pPr>
            <w:r>
              <w:rPr>
                <w:rFonts w:ascii="Calibri" w:hAnsi="Calibri" w:cs="Calibri"/>
                <w:color w:val="000000"/>
                <w:sz w:val="20"/>
                <w:szCs w:val="20"/>
              </w:rPr>
              <w:t>OnCore Calendars</w:t>
            </w:r>
          </w:p>
          <w:p w14:paraId="20D467DF" w14:textId="01867176" w:rsidR="00B636C8" w:rsidRPr="00257E21" w:rsidRDefault="000D731A" w:rsidP="00257E21">
            <w:pPr>
              <w:pStyle w:val="NormalWeb"/>
              <w:numPr>
                <w:ilvl w:val="0"/>
                <w:numId w:val="8"/>
              </w:numPr>
              <w:spacing w:before="0" w:beforeAutospacing="0" w:after="0" w:afterAutospacing="0"/>
              <w:ind w:left="338"/>
              <w:textAlignment w:val="baseline"/>
              <w:rPr>
                <w:rFonts w:ascii="Arial" w:hAnsi="Arial" w:cs="Arial"/>
                <w:color w:val="000000"/>
                <w:sz w:val="20"/>
                <w:szCs w:val="20"/>
              </w:rPr>
            </w:pPr>
            <w:r>
              <w:rPr>
                <w:rFonts w:ascii="Calibri" w:hAnsi="Calibri" w:cs="Calibri"/>
                <w:color w:val="000000"/>
                <w:sz w:val="20"/>
                <w:szCs w:val="20"/>
              </w:rPr>
              <w:t>RNI’s for studies that include Fairview resources, staff, or locations</w:t>
            </w:r>
          </w:p>
        </w:tc>
        <w:tc>
          <w:tcPr>
            <w:tcW w:w="2070" w:type="dxa"/>
          </w:tcPr>
          <w:p w14:paraId="1095FBC4" w14:textId="77777777" w:rsidR="000D731A" w:rsidRDefault="000D731A" w:rsidP="00257E21">
            <w:pPr>
              <w:pStyle w:val="NormalWeb"/>
              <w:spacing w:before="0" w:beforeAutospacing="0" w:after="160" w:afterAutospacing="0"/>
            </w:pPr>
            <w:r>
              <w:rPr>
                <w:rFonts w:ascii="Calibri" w:hAnsi="Calibri" w:cs="Calibri"/>
                <w:color w:val="000000"/>
                <w:sz w:val="20"/>
                <w:szCs w:val="20"/>
              </w:rPr>
              <w:t>Fairview Research Administration</w:t>
            </w:r>
          </w:p>
          <w:p w14:paraId="64E84F17" w14:textId="77777777" w:rsidR="000D731A" w:rsidRDefault="00A31BFA" w:rsidP="00257E21">
            <w:pPr>
              <w:pStyle w:val="NormalWeb"/>
              <w:spacing w:before="0" w:beforeAutospacing="0" w:after="160" w:afterAutospacing="0"/>
            </w:pPr>
            <w:hyperlink r:id="rId13" w:history="1">
              <w:r w:rsidR="000D731A">
                <w:rPr>
                  <w:rStyle w:val="Hyperlink"/>
                  <w:rFonts w:ascii="Calibri" w:hAnsi="Calibri" w:cs="Calibri"/>
                  <w:color w:val="0563C1"/>
                  <w:sz w:val="20"/>
                  <w:szCs w:val="20"/>
                </w:rPr>
                <w:t>ancillaryreview@Fairview.org</w:t>
              </w:r>
            </w:hyperlink>
          </w:p>
          <w:p w14:paraId="3F2F0ABC" w14:textId="77777777" w:rsidR="000D731A" w:rsidRDefault="000D731A" w:rsidP="00257E21">
            <w:pPr>
              <w:pStyle w:val="NormalWeb"/>
              <w:spacing w:before="0" w:beforeAutospacing="0" w:after="160" w:afterAutospacing="0"/>
            </w:pPr>
            <w:r>
              <w:rPr>
                <w:rFonts w:ascii="Calibri" w:hAnsi="Calibri" w:cs="Calibri"/>
                <w:color w:val="000000"/>
                <w:sz w:val="20"/>
                <w:szCs w:val="20"/>
              </w:rPr>
              <w:t>612-672-7690</w:t>
            </w:r>
          </w:p>
          <w:p w14:paraId="0FA1884B" w14:textId="77777777" w:rsidR="00B636C8" w:rsidRDefault="00B636C8" w:rsidP="00257E21">
            <w:pPr>
              <w:rPr>
                <w:rFonts w:ascii="Arial" w:hAnsi="Arial" w:cs="Arial"/>
              </w:rPr>
            </w:pPr>
          </w:p>
        </w:tc>
        <w:tc>
          <w:tcPr>
            <w:tcW w:w="1620" w:type="dxa"/>
          </w:tcPr>
          <w:p w14:paraId="42F65427" w14:textId="0674BDD3" w:rsidR="00B636C8" w:rsidRDefault="000D731A" w:rsidP="00257E21">
            <w:pPr>
              <w:rPr>
                <w:rFonts w:ascii="Arial" w:hAnsi="Arial" w:cs="Arial"/>
              </w:rPr>
            </w:pPr>
            <w:r>
              <w:rPr>
                <w:rFonts w:ascii="Calibri" w:hAnsi="Calibri" w:cs="Calibri"/>
                <w:color w:val="000000"/>
                <w:sz w:val="20"/>
                <w:szCs w:val="20"/>
              </w:rPr>
              <w:t>Through assignment of ancillary review. May be assigned by either the researcher or IRB analyst.</w:t>
            </w:r>
          </w:p>
        </w:tc>
        <w:tc>
          <w:tcPr>
            <w:tcW w:w="2155" w:type="dxa"/>
          </w:tcPr>
          <w:p w14:paraId="7F072AC4" w14:textId="5E79D52C" w:rsidR="00B636C8" w:rsidRPr="000D731A" w:rsidRDefault="000D731A" w:rsidP="00257E21">
            <w:pPr>
              <w:rPr>
                <w:rFonts w:cstheme="minorHAnsi"/>
                <w:sz w:val="20"/>
                <w:szCs w:val="20"/>
              </w:rPr>
            </w:pPr>
            <w:r w:rsidRPr="000D731A">
              <w:rPr>
                <w:rFonts w:cstheme="minorHAnsi"/>
                <w:sz w:val="20"/>
                <w:szCs w:val="20"/>
              </w:rPr>
              <w:t>Must be completed prior to or during IRB Pre-Review.</w:t>
            </w:r>
          </w:p>
        </w:tc>
      </w:tr>
      <w:tr w:rsidR="00257E21" w14:paraId="3F86D415" w14:textId="77777777" w:rsidTr="005727E3">
        <w:trPr>
          <w:cantSplit/>
        </w:trPr>
        <w:tc>
          <w:tcPr>
            <w:tcW w:w="1615" w:type="dxa"/>
          </w:tcPr>
          <w:p w14:paraId="1D9962D9" w14:textId="28435450" w:rsidR="00B636C8" w:rsidRPr="00627DB4" w:rsidRDefault="00A31BFA" w:rsidP="00257E21">
            <w:pPr>
              <w:rPr>
                <w:rFonts w:ascii="Arial" w:hAnsi="Arial" w:cs="Arial"/>
                <w:color w:val="4472C4" w:themeColor="accent1"/>
              </w:rPr>
            </w:pPr>
            <w:hyperlink r:id="rId14">
              <w:r w:rsidR="005C4629" w:rsidRPr="00627DB4">
                <w:rPr>
                  <w:color w:val="4472C4" w:themeColor="accent1"/>
                  <w:u w:val="single"/>
                </w:rPr>
                <w:t>Cancer Protocol Review Committee (CPRC)</w:t>
              </w:r>
            </w:hyperlink>
          </w:p>
        </w:tc>
        <w:tc>
          <w:tcPr>
            <w:tcW w:w="1620" w:type="dxa"/>
          </w:tcPr>
          <w:p w14:paraId="2071DB3A" w14:textId="0FDDEAFE" w:rsidR="00B636C8" w:rsidRDefault="005C4629" w:rsidP="00257E21">
            <w:pPr>
              <w:rPr>
                <w:rFonts w:ascii="Arial" w:hAnsi="Arial" w:cs="Arial"/>
              </w:rPr>
            </w:pPr>
            <w:r>
              <w:rPr>
                <w:rFonts w:ascii="Calibri" w:hAnsi="Calibri" w:cs="Calibri"/>
                <w:color w:val="000000"/>
                <w:sz w:val="20"/>
                <w:szCs w:val="20"/>
              </w:rPr>
              <w:t>Any study related to cancer patients, cancer treatments, cancer screening/prevention, or tobacco.</w:t>
            </w:r>
          </w:p>
        </w:tc>
        <w:tc>
          <w:tcPr>
            <w:tcW w:w="2790" w:type="dxa"/>
          </w:tcPr>
          <w:p w14:paraId="0A34502E" w14:textId="77777777" w:rsidR="005C4629" w:rsidRPr="005C4629" w:rsidRDefault="005C4629" w:rsidP="00257E21">
            <w:pPr>
              <w:rPr>
                <w:rFonts w:ascii="Times New Roman" w:eastAsia="Times New Roman" w:hAnsi="Times New Roman" w:cs="Times New Roman"/>
                <w:sz w:val="24"/>
                <w:szCs w:val="24"/>
              </w:rPr>
            </w:pPr>
            <w:r w:rsidRPr="005C4629">
              <w:rPr>
                <w:rFonts w:ascii="Calibri" w:eastAsia="Times New Roman" w:hAnsi="Calibri" w:cs="Calibri"/>
                <w:color w:val="000000"/>
                <w:sz w:val="20"/>
                <w:szCs w:val="20"/>
              </w:rPr>
              <w:t>Protocol description </w:t>
            </w:r>
          </w:p>
          <w:p w14:paraId="13F4A1E5" w14:textId="77777777" w:rsidR="005C4629" w:rsidRPr="005C4629" w:rsidRDefault="005C4629" w:rsidP="00257E21">
            <w:pPr>
              <w:rPr>
                <w:rFonts w:ascii="Times New Roman" w:eastAsia="Times New Roman" w:hAnsi="Times New Roman" w:cs="Times New Roman"/>
                <w:sz w:val="24"/>
                <w:szCs w:val="24"/>
              </w:rPr>
            </w:pPr>
          </w:p>
          <w:p w14:paraId="2AF395F9" w14:textId="77777777" w:rsidR="005C4629" w:rsidRPr="005C4629" w:rsidRDefault="005C4629" w:rsidP="00257E21">
            <w:pPr>
              <w:rPr>
                <w:rFonts w:ascii="Times New Roman" w:eastAsia="Times New Roman" w:hAnsi="Times New Roman" w:cs="Times New Roman"/>
                <w:sz w:val="24"/>
                <w:szCs w:val="24"/>
              </w:rPr>
            </w:pPr>
            <w:r w:rsidRPr="005C4629">
              <w:rPr>
                <w:rFonts w:ascii="Calibri" w:eastAsia="Times New Roman" w:hAnsi="Calibri" w:cs="Calibri"/>
                <w:color w:val="000000"/>
                <w:sz w:val="20"/>
                <w:szCs w:val="20"/>
              </w:rPr>
              <w:t>CPRC review is not required for Retrospective Chart Review, Retrospective Sample Review, or Prospective Specimen Repository studies</w:t>
            </w:r>
          </w:p>
          <w:p w14:paraId="4AF402FB" w14:textId="77777777" w:rsidR="00B636C8" w:rsidRDefault="00B636C8" w:rsidP="00257E21">
            <w:pPr>
              <w:rPr>
                <w:rFonts w:ascii="Arial" w:hAnsi="Arial" w:cs="Arial"/>
              </w:rPr>
            </w:pPr>
          </w:p>
        </w:tc>
        <w:tc>
          <w:tcPr>
            <w:tcW w:w="2520" w:type="dxa"/>
          </w:tcPr>
          <w:p w14:paraId="62DC7E39" w14:textId="77777777" w:rsidR="005C4629" w:rsidRDefault="005C4629" w:rsidP="00257E21">
            <w:pPr>
              <w:pStyle w:val="NormalWeb"/>
              <w:numPr>
                <w:ilvl w:val="0"/>
                <w:numId w:val="9"/>
              </w:numPr>
              <w:spacing w:before="0" w:beforeAutospacing="0" w:after="0" w:afterAutospacing="0"/>
              <w:ind w:left="338"/>
              <w:textAlignment w:val="baseline"/>
              <w:rPr>
                <w:rFonts w:ascii="Arial" w:hAnsi="Arial" w:cs="Arial"/>
                <w:color w:val="000000"/>
                <w:sz w:val="20"/>
                <w:szCs w:val="20"/>
              </w:rPr>
            </w:pPr>
            <w:r>
              <w:rPr>
                <w:rFonts w:ascii="Calibri" w:hAnsi="Calibri" w:cs="Calibri"/>
                <w:color w:val="000000"/>
                <w:sz w:val="20"/>
                <w:szCs w:val="20"/>
              </w:rPr>
              <w:t>Initial Review</w:t>
            </w:r>
          </w:p>
          <w:p w14:paraId="3FE3315D" w14:textId="77777777" w:rsidR="005C4629" w:rsidRDefault="005C4629" w:rsidP="00257E21">
            <w:pPr>
              <w:pStyle w:val="NormalWeb"/>
              <w:numPr>
                <w:ilvl w:val="0"/>
                <w:numId w:val="9"/>
              </w:numPr>
              <w:spacing w:before="0" w:beforeAutospacing="0" w:after="160" w:afterAutospacing="0"/>
              <w:ind w:left="338"/>
              <w:textAlignment w:val="baseline"/>
              <w:rPr>
                <w:rFonts w:ascii="Arial" w:hAnsi="Arial" w:cs="Arial"/>
                <w:color w:val="000000"/>
                <w:sz w:val="20"/>
                <w:szCs w:val="20"/>
              </w:rPr>
            </w:pPr>
            <w:r>
              <w:rPr>
                <w:rFonts w:ascii="Calibri" w:hAnsi="Calibri" w:cs="Calibri"/>
                <w:color w:val="000000"/>
                <w:sz w:val="20"/>
                <w:szCs w:val="20"/>
              </w:rPr>
              <w:t>Modification that includes a protocol update or change</w:t>
            </w:r>
          </w:p>
          <w:p w14:paraId="0E2338E5" w14:textId="77777777" w:rsidR="00B636C8" w:rsidRDefault="00B636C8" w:rsidP="00257E21">
            <w:pPr>
              <w:rPr>
                <w:rFonts w:ascii="Arial" w:hAnsi="Arial" w:cs="Arial"/>
              </w:rPr>
            </w:pPr>
          </w:p>
        </w:tc>
        <w:tc>
          <w:tcPr>
            <w:tcW w:w="2070" w:type="dxa"/>
          </w:tcPr>
          <w:p w14:paraId="3CD5CC8D" w14:textId="77777777" w:rsidR="005C4629" w:rsidRDefault="00A31BFA" w:rsidP="00257E21">
            <w:pPr>
              <w:pStyle w:val="NormalWeb"/>
              <w:spacing w:before="0" w:beforeAutospacing="0" w:after="160" w:afterAutospacing="0"/>
            </w:pPr>
            <w:hyperlink r:id="rId15" w:history="1">
              <w:r w:rsidR="005C4629">
                <w:rPr>
                  <w:rStyle w:val="Hyperlink"/>
                  <w:rFonts w:ascii="Calibri" w:hAnsi="Calibri" w:cs="Calibri"/>
                  <w:color w:val="0563C1"/>
                  <w:sz w:val="20"/>
                  <w:szCs w:val="20"/>
                </w:rPr>
                <w:t>ccprc@umn.edu</w:t>
              </w:r>
            </w:hyperlink>
          </w:p>
          <w:p w14:paraId="711518DB" w14:textId="77777777" w:rsidR="005C4629" w:rsidRDefault="005C4629" w:rsidP="00257E21">
            <w:pPr>
              <w:pStyle w:val="NormalWeb"/>
              <w:spacing w:before="0" w:beforeAutospacing="0" w:after="160" w:afterAutospacing="0"/>
            </w:pPr>
            <w:r>
              <w:rPr>
                <w:rFonts w:ascii="Calibri" w:hAnsi="Calibri" w:cs="Calibri"/>
                <w:color w:val="000000"/>
                <w:sz w:val="20"/>
                <w:szCs w:val="20"/>
              </w:rPr>
              <w:t>email correspondence preferred</w:t>
            </w:r>
          </w:p>
          <w:p w14:paraId="784A5745" w14:textId="77777777" w:rsidR="00B636C8" w:rsidRDefault="00B636C8" w:rsidP="00257E21">
            <w:pPr>
              <w:rPr>
                <w:rFonts w:ascii="Arial" w:hAnsi="Arial" w:cs="Arial"/>
              </w:rPr>
            </w:pPr>
          </w:p>
        </w:tc>
        <w:tc>
          <w:tcPr>
            <w:tcW w:w="1620" w:type="dxa"/>
          </w:tcPr>
          <w:p w14:paraId="6D507A6F" w14:textId="77777777" w:rsidR="005C4629" w:rsidRPr="005C4629" w:rsidRDefault="005C4629" w:rsidP="00257E21">
            <w:pPr>
              <w:rPr>
                <w:rFonts w:ascii="Times New Roman" w:eastAsia="Times New Roman" w:hAnsi="Times New Roman" w:cs="Times New Roman"/>
                <w:sz w:val="24"/>
                <w:szCs w:val="24"/>
              </w:rPr>
            </w:pPr>
            <w:r w:rsidRPr="005C4629">
              <w:rPr>
                <w:rFonts w:ascii="Calibri" w:eastAsia="Times New Roman" w:hAnsi="Calibri" w:cs="Calibri"/>
                <w:color w:val="000000"/>
                <w:sz w:val="20"/>
                <w:szCs w:val="20"/>
              </w:rPr>
              <w:t>Submission of CPRC Application and protocol. </w:t>
            </w:r>
          </w:p>
          <w:p w14:paraId="5702E71A" w14:textId="48F515B2" w:rsidR="00B636C8" w:rsidRDefault="005C4629" w:rsidP="00257E21">
            <w:pPr>
              <w:rPr>
                <w:rFonts w:ascii="Arial" w:hAnsi="Arial" w:cs="Arial"/>
              </w:rPr>
            </w:pPr>
            <w:r w:rsidRPr="005C4629">
              <w:rPr>
                <w:rFonts w:ascii="Times New Roman" w:eastAsia="Times New Roman" w:hAnsi="Times New Roman" w:cs="Times New Roman"/>
                <w:sz w:val="24"/>
                <w:szCs w:val="24"/>
              </w:rPr>
              <w:br/>
            </w:r>
            <w:r w:rsidRPr="005C4629">
              <w:rPr>
                <w:rFonts w:ascii="Calibri" w:eastAsia="Times New Roman" w:hAnsi="Calibri" w:cs="Calibri"/>
                <w:color w:val="FF0000"/>
                <w:sz w:val="20"/>
                <w:szCs w:val="20"/>
              </w:rPr>
              <w:t>Gillette excluded</w:t>
            </w:r>
          </w:p>
        </w:tc>
        <w:tc>
          <w:tcPr>
            <w:tcW w:w="2155" w:type="dxa"/>
          </w:tcPr>
          <w:p w14:paraId="68A2DA3D" w14:textId="77777777" w:rsidR="005C4629" w:rsidRDefault="005C4629" w:rsidP="00257E21">
            <w:pPr>
              <w:pStyle w:val="NormalWeb"/>
              <w:spacing w:before="0" w:beforeAutospacing="0" w:after="160" w:afterAutospacing="0"/>
            </w:pPr>
            <w:r>
              <w:rPr>
                <w:rFonts w:ascii="Calibri" w:hAnsi="Calibri" w:cs="Calibri"/>
                <w:color w:val="000000"/>
                <w:sz w:val="20"/>
                <w:szCs w:val="20"/>
              </w:rPr>
              <w:t>Must be completed prior to or during IRB Pre-Review.</w:t>
            </w:r>
          </w:p>
          <w:p w14:paraId="2568C629" w14:textId="44417FF9" w:rsidR="00B636C8" w:rsidRDefault="005C4629" w:rsidP="00257E21">
            <w:pPr>
              <w:rPr>
                <w:rFonts w:ascii="Arial" w:hAnsi="Arial" w:cs="Arial"/>
              </w:rPr>
            </w:pPr>
            <w:r>
              <w:rPr>
                <w:rFonts w:ascii="Calibri" w:hAnsi="Calibri" w:cs="Calibri"/>
                <w:color w:val="000000"/>
                <w:sz w:val="20"/>
                <w:szCs w:val="20"/>
              </w:rPr>
              <w:t>*Note: If approval documentation is provided in the IRB submission, this ancillary review in ETHOS must be finalized before full IRB approval can be granted.</w:t>
            </w:r>
          </w:p>
        </w:tc>
      </w:tr>
      <w:tr w:rsidR="00257E21" w14:paraId="7050265A" w14:textId="77777777" w:rsidTr="005727E3">
        <w:trPr>
          <w:cantSplit/>
        </w:trPr>
        <w:tc>
          <w:tcPr>
            <w:tcW w:w="1615" w:type="dxa"/>
          </w:tcPr>
          <w:p w14:paraId="038AA7D0" w14:textId="5DCF1FEB" w:rsidR="000D731A" w:rsidRPr="00627DB4" w:rsidRDefault="00A31BFA" w:rsidP="00257E21">
            <w:pPr>
              <w:rPr>
                <w:rFonts w:ascii="Arial" w:hAnsi="Arial" w:cs="Arial"/>
                <w:color w:val="4472C4" w:themeColor="accent1"/>
              </w:rPr>
            </w:pPr>
            <w:hyperlink r:id="rId16" w:history="1">
              <w:r w:rsidR="005C4629" w:rsidRPr="00627DB4">
                <w:rPr>
                  <w:rStyle w:val="Hyperlink"/>
                  <w:rFonts w:ascii="Calibri" w:hAnsi="Calibri" w:cs="Calibri"/>
                  <w:color w:val="4472C4" w:themeColor="accent1"/>
                </w:rPr>
                <w:t>HRPP Scientific Assessment</w:t>
              </w:r>
            </w:hyperlink>
          </w:p>
        </w:tc>
        <w:tc>
          <w:tcPr>
            <w:tcW w:w="1620" w:type="dxa"/>
          </w:tcPr>
          <w:p w14:paraId="79548FCE" w14:textId="47737A59" w:rsidR="000D731A" w:rsidRDefault="005C4629" w:rsidP="00257E21">
            <w:pPr>
              <w:rPr>
                <w:rFonts w:ascii="Arial" w:hAnsi="Arial" w:cs="Arial"/>
              </w:rPr>
            </w:pPr>
            <w:r>
              <w:rPr>
                <w:rFonts w:ascii="Calibri" w:hAnsi="Calibri" w:cs="Calibri"/>
                <w:color w:val="000000"/>
                <w:sz w:val="20"/>
                <w:szCs w:val="20"/>
              </w:rPr>
              <w:t>Research Design, Merit</w:t>
            </w:r>
          </w:p>
        </w:tc>
        <w:tc>
          <w:tcPr>
            <w:tcW w:w="2790" w:type="dxa"/>
          </w:tcPr>
          <w:p w14:paraId="3C1DC959" w14:textId="36AA48AE" w:rsidR="000D731A" w:rsidRDefault="005C4629" w:rsidP="00257E21">
            <w:pPr>
              <w:rPr>
                <w:rFonts w:ascii="Arial" w:hAnsi="Arial" w:cs="Arial"/>
              </w:rPr>
            </w:pPr>
            <w:r>
              <w:rPr>
                <w:rFonts w:ascii="Calibri" w:hAnsi="Calibri" w:cs="Calibri"/>
                <w:color w:val="000000"/>
                <w:sz w:val="20"/>
                <w:szCs w:val="20"/>
              </w:rPr>
              <w:t>Medical research that does not qualify for expedited review under 45CFR46.110 if the scientific review requirement is not met via other acceptable means.</w:t>
            </w:r>
          </w:p>
        </w:tc>
        <w:tc>
          <w:tcPr>
            <w:tcW w:w="2520" w:type="dxa"/>
          </w:tcPr>
          <w:p w14:paraId="2A62D065" w14:textId="77777777" w:rsidR="005C4629" w:rsidRDefault="005C4629" w:rsidP="00257E21">
            <w:pPr>
              <w:pStyle w:val="NormalWeb"/>
              <w:numPr>
                <w:ilvl w:val="0"/>
                <w:numId w:val="10"/>
              </w:numPr>
              <w:spacing w:before="0" w:beforeAutospacing="0" w:after="0" w:afterAutospacing="0"/>
              <w:ind w:left="360"/>
              <w:textAlignment w:val="baseline"/>
              <w:rPr>
                <w:rFonts w:ascii="Arial" w:hAnsi="Arial" w:cs="Arial"/>
                <w:color w:val="000000"/>
                <w:sz w:val="20"/>
                <w:szCs w:val="20"/>
              </w:rPr>
            </w:pPr>
            <w:r>
              <w:rPr>
                <w:rFonts w:ascii="Calibri" w:hAnsi="Calibri" w:cs="Calibri"/>
                <w:color w:val="000000"/>
                <w:sz w:val="20"/>
                <w:szCs w:val="20"/>
              </w:rPr>
              <w:t>Initial Review </w:t>
            </w:r>
          </w:p>
          <w:p w14:paraId="2BE18B8F" w14:textId="77777777" w:rsidR="005C4629" w:rsidRDefault="005C4629" w:rsidP="00257E21">
            <w:pPr>
              <w:pStyle w:val="NormalWeb"/>
              <w:numPr>
                <w:ilvl w:val="0"/>
                <w:numId w:val="10"/>
              </w:numPr>
              <w:spacing w:before="0" w:beforeAutospacing="0" w:after="0" w:afterAutospacing="0"/>
              <w:ind w:left="360"/>
              <w:textAlignment w:val="baseline"/>
              <w:rPr>
                <w:rFonts w:ascii="Arial" w:hAnsi="Arial" w:cs="Arial"/>
                <w:color w:val="000000"/>
                <w:sz w:val="20"/>
                <w:szCs w:val="20"/>
              </w:rPr>
            </w:pPr>
            <w:r>
              <w:rPr>
                <w:rFonts w:ascii="Calibri" w:hAnsi="Calibri" w:cs="Calibri"/>
                <w:color w:val="000000"/>
                <w:sz w:val="20"/>
                <w:szCs w:val="20"/>
              </w:rPr>
              <w:t>Significant modifications as determined by pre-review or committee review</w:t>
            </w:r>
          </w:p>
          <w:p w14:paraId="5DC22A61" w14:textId="77777777" w:rsidR="000D731A" w:rsidRDefault="000D731A" w:rsidP="00257E21">
            <w:pPr>
              <w:rPr>
                <w:rFonts w:ascii="Arial" w:hAnsi="Arial" w:cs="Arial"/>
              </w:rPr>
            </w:pPr>
          </w:p>
        </w:tc>
        <w:tc>
          <w:tcPr>
            <w:tcW w:w="2070" w:type="dxa"/>
          </w:tcPr>
          <w:p w14:paraId="23B70EF4" w14:textId="77777777" w:rsidR="005C4629" w:rsidRDefault="00A31BFA" w:rsidP="00257E21">
            <w:pPr>
              <w:pStyle w:val="NormalWeb"/>
              <w:spacing w:before="0" w:beforeAutospacing="0" w:after="160" w:afterAutospacing="0"/>
            </w:pPr>
            <w:hyperlink r:id="rId17" w:history="1">
              <w:r w:rsidR="005C4629">
                <w:rPr>
                  <w:rStyle w:val="Hyperlink"/>
                  <w:rFonts w:ascii="Calibri" w:hAnsi="Calibri" w:cs="Calibri"/>
                  <w:color w:val="0563C1"/>
                  <w:sz w:val="20"/>
                  <w:szCs w:val="20"/>
                </w:rPr>
                <w:t>hrpp@umn.edu</w:t>
              </w:r>
            </w:hyperlink>
            <w:r w:rsidR="005C4629">
              <w:rPr>
                <w:rFonts w:ascii="Calibri" w:hAnsi="Calibri" w:cs="Calibri"/>
                <w:color w:val="000000"/>
                <w:sz w:val="20"/>
                <w:szCs w:val="20"/>
              </w:rPr>
              <w:t> </w:t>
            </w:r>
          </w:p>
          <w:p w14:paraId="40C56DE6" w14:textId="77777777" w:rsidR="005C4629" w:rsidRDefault="005C4629" w:rsidP="00257E21">
            <w:pPr>
              <w:pStyle w:val="NormalWeb"/>
              <w:spacing w:before="0" w:beforeAutospacing="0" w:after="160" w:afterAutospacing="0"/>
            </w:pPr>
            <w:r>
              <w:rPr>
                <w:rFonts w:ascii="Calibri" w:hAnsi="Calibri" w:cs="Calibri"/>
                <w:color w:val="000000"/>
                <w:sz w:val="20"/>
                <w:szCs w:val="20"/>
              </w:rPr>
              <w:t>612-626-5654</w:t>
            </w:r>
          </w:p>
          <w:p w14:paraId="7CE0BD47" w14:textId="77777777" w:rsidR="000D731A" w:rsidRDefault="000D731A" w:rsidP="00257E21">
            <w:pPr>
              <w:rPr>
                <w:rFonts w:ascii="Arial" w:hAnsi="Arial" w:cs="Arial"/>
              </w:rPr>
            </w:pPr>
          </w:p>
        </w:tc>
        <w:tc>
          <w:tcPr>
            <w:tcW w:w="1620" w:type="dxa"/>
          </w:tcPr>
          <w:p w14:paraId="54CA382A" w14:textId="1DD9E8EA" w:rsidR="000D731A" w:rsidRDefault="005C4629" w:rsidP="00257E21">
            <w:pPr>
              <w:rPr>
                <w:rFonts w:ascii="Arial" w:hAnsi="Arial" w:cs="Arial"/>
              </w:rPr>
            </w:pPr>
            <w:r>
              <w:rPr>
                <w:rFonts w:ascii="Calibri" w:hAnsi="Calibri" w:cs="Calibri"/>
                <w:color w:val="000000"/>
                <w:sz w:val="20"/>
                <w:szCs w:val="20"/>
              </w:rPr>
              <w:t>Through assignment of ancillary review. May be assigned by either the researcher or IRB analyst.</w:t>
            </w:r>
          </w:p>
        </w:tc>
        <w:tc>
          <w:tcPr>
            <w:tcW w:w="2155" w:type="dxa"/>
          </w:tcPr>
          <w:p w14:paraId="6CD98855" w14:textId="7062BB7E" w:rsidR="000D731A" w:rsidRDefault="005C4629" w:rsidP="00257E21">
            <w:pPr>
              <w:rPr>
                <w:rFonts w:ascii="Arial" w:hAnsi="Arial" w:cs="Arial"/>
              </w:rPr>
            </w:pPr>
            <w:r>
              <w:rPr>
                <w:rFonts w:ascii="Calibri" w:hAnsi="Calibri" w:cs="Calibri"/>
                <w:color w:val="000000"/>
                <w:sz w:val="20"/>
                <w:szCs w:val="20"/>
              </w:rPr>
              <w:t>Must be completed prior to or during IRB Pre-Review.</w:t>
            </w:r>
          </w:p>
        </w:tc>
      </w:tr>
      <w:tr w:rsidR="00257E21" w14:paraId="52C793CB" w14:textId="77777777" w:rsidTr="005727E3">
        <w:trPr>
          <w:cantSplit/>
          <w:trHeight w:val="3380"/>
        </w:trPr>
        <w:tc>
          <w:tcPr>
            <w:tcW w:w="1615" w:type="dxa"/>
          </w:tcPr>
          <w:p w14:paraId="3848D180" w14:textId="447EB235" w:rsidR="000D731A" w:rsidRPr="00627DB4" w:rsidRDefault="005C4629" w:rsidP="00257E21">
            <w:pPr>
              <w:rPr>
                <w:rFonts w:ascii="Arial" w:hAnsi="Arial" w:cs="Arial"/>
              </w:rPr>
            </w:pPr>
            <w:r w:rsidRPr="00627DB4">
              <w:rPr>
                <w:rFonts w:ascii="Calibri" w:hAnsi="Calibri" w:cs="Calibri"/>
                <w:color w:val="000000"/>
              </w:rPr>
              <w:t>Regulatory Review</w:t>
            </w:r>
          </w:p>
        </w:tc>
        <w:tc>
          <w:tcPr>
            <w:tcW w:w="1620" w:type="dxa"/>
          </w:tcPr>
          <w:p w14:paraId="5C99E8C0" w14:textId="13A1D4D9" w:rsidR="000D731A" w:rsidRDefault="005C4629" w:rsidP="00257E21">
            <w:pPr>
              <w:rPr>
                <w:rFonts w:ascii="Arial" w:hAnsi="Arial" w:cs="Arial"/>
              </w:rPr>
            </w:pPr>
            <w:r>
              <w:rPr>
                <w:rFonts w:ascii="Calibri" w:hAnsi="Calibri" w:cs="Calibri"/>
                <w:color w:val="000000"/>
                <w:sz w:val="20"/>
                <w:szCs w:val="20"/>
              </w:rPr>
              <w:t>Drug/Device Guidance</w:t>
            </w:r>
          </w:p>
        </w:tc>
        <w:tc>
          <w:tcPr>
            <w:tcW w:w="2790" w:type="dxa"/>
          </w:tcPr>
          <w:p w14:paraId="1782F202" w14:textId="37079A37" w:rsidR="000D731A" w:rsidRDefault="005C4629" w:rsidP="00257E21">
            <w:pPr>
              <w:rPr>
                <w:rFonts w:ascii="Arial" w:hAnsi="Arial" w:cs="Arial"/>
              </w:rPr>
            </w:pPr>
            <w:r>
              <w:rPr>
                <w:rFonts w:ascii="Calibri" w:hAnsi="Calibri" w:cs="Calibri"/>
                <w:color w:val="000000"/>
                <w:sz w:val="20"/>
                <w:szCs w:val="20"/>
              </w:rPr>
              <w:t xml:space="preserve">All studies (including reliance submissions) involving evaluation of drugs, devices. Biologics, </w:t>
            </w:r>
            <w:proofErr w:type="gramStart"/>
            <w:r>
              <w:rPr>
                <w:rFonts w:ascii="Calibri" w:hAnsi="Calibri" w:cs="Calibri"/>
                <w:color w:val="000000"/>
                <w:sz w:val="20"/>
                <w:szCs w:val="20"/>
              </w:rPr>
              <w:t>tobacco</w:t>
            </w:r>
            <w:proofErr w:type="gramEnd"/>
            <w:r>
              <w:rPr>
                <w:rFonts w:ascii="Calibri" w:hAnsi="Calibri" w:cs="Calibri"/>
                <w:color w:val="000000"/>
                <w:sz w:val="20"/>
                <w:szCs w:val="20"/>
              </w:rPr>
              <w:t xml:space="preserve"> or dietary supplements.</w:t>
            </w:r>
          </w:p>
        </w:tc>
        <w:tc>
          <w:tcPr>
            <w:tcW w:w="2520" w:type="dxa"/>
          </w:tcPr>
          <w:p w14:paraId="4A70A77D" w14:textId="77777777" w:rsidR="005C4629" w:rsidRDefault="005C4629" w:rsidP="00257E21">
            <w:pPr>
              <w:pStyle w:val="NormalWeb"/>
              <w:numPr>
                <w:ilvl w:val="0"/>
                <w:numId w:val="11"/>
              </w:numPr>
              <w:spacing w:before="0" w:beforeAutospacing="0" w:after="0" w:afterAutospacing="0"/>
              <w:ind w:left="391"/>
              <w:textAlignment w:val="baseline"/>
              <w:rPr>
                <w:rFonts w:ascii="Arial" w:hAnsi="Arial" w:cs="Arial"/>
                <w:color w:val="000000"/>
                <w:sz w:val="20"/>
                <w:szCs w:val="20"/>
              </w:rPr>
            </w:pPr>
            <w:r>
              <w:rPr>
                <w:rFonts w:ascii="Calibri" w:hAnsi="Calibri" w:cs="Calibri"/>
                <w:color w:val="000000"/>
                <w:sz w:val="20"/>
                <w:szCs w:val="20"/>
              </w:rPr>
              <w:t>Initial Review</w:t>
            </w:r>
          </w:p>
          <w:p w14:paraId="5ED64498" w14:textId="77777777" w:rsidR="005C4629" w:rsidRDefault="005C4629" w:rsidP="00257E21">
            <w:pPr>
              <w:pStyle w:val="NormalWeb"/>
              <w:numPr>
                <w:ilvl w:val="0"/>
                <w:numId w:val="11"/>
              </w:numPr>
              <w:spacing w:before="0" w:beforeAutospacing="0" w:after="0" w:afterAutospacing="0"/>
              <w:ind w:left="391"/>
              <w:textAlignment w:val="baseline"/>
              <w:rPr>
                <w:rFonts w:ascii="Arial" w:hAnsi="Arial" w:cs="Arial"/>
                <w:color w:val="000000"/>
                <w:sz w:val="20"/>
                <w:szCs w:val="20"/>
              </w:rPr>
            </w:pPr>
            <w:proofErr w:type="gramStart"/>
            <w:r>
              <w:rPr>
                <w:rFonts w:ascii="Calibri" w:hAnsi="Calibri" w:cs="Calibri"/>
                <w:color w:val="000000"/>
                <w:sz w:val="20"/>
                <w:szCs w:val="20"/>
              </w:rPr>
              <w:t>Modifications  that</w:t>
            </w:r>
            <w:proofErr w:type="gramEnd"/>
            <w:r>
              <w:rPr>
                <w:rFonts w:ascii="Calibri" w:hAnsi="Calibri" w:cs="Calibri"/>
                <w:color w:val="000000"/>
                <w:sz w:val="20"/>
                <w:szCs w:val="20"/>
              </w:rPr>
              <w:t xml:space="preserve"> include significant alterations </w:t>
            </w:r>
          </w:p>
          <w:p w14:paraId="5D12616B" w14:textId="77777777" w:rsidR="005C4629" w:rsidRDefault="005C4629" w:rsidP="00257E21">
            <w:pPr>
              <w:pStyle w:val="NormalWeb"/>
              <w:numPr>
                <w:ilvl w:val="0"/>
                <w:numId w:val="11"/>
              </w:numPr>
              <w:spacing w:before="0" w:beforeAutospacing="0" w:after="160" w:afterAutospacing="0"/>
              <w:ind w:left="391"/>
              <w:textAlignment w:val="baseline"/>
              <w:rPr>
                <w:rFonts w:ascii="Arial" w:hAnsi="Arial" w:cs="Arial"/>
                <w:color w:val="000000"/>
                <w:sz w:val="20"/>
                <w:szCs w:val="20"/>
              </w:rPr>
            </w:pPr>
            <w:r>
              <w:rPr>
                <w:rFonts w:ascii="Calibri" w:hAnsi="Calibri" w:cs="Calibri"/>
                <w:color w:val="000000"/>
                <w:sz w:val="20"/>
                <w:szCs w:val="20"/>
              </w:rPr>
              <w:t>RNIs that trigger FDA correspondence</w:t>
            </w:r>
          </w:p>
          <w:p w14:paraId="158AEB8E" w14:textId="77777777" w:rsidR="000D731A" w:rsidRDefault="000D731A" w:rsidP="00257E21">
            <w:pPr>
              <w:rPr>
                <w:rFonts w:ascii="Arial" w:hAnsi="Arial" w:cs="Arial"/>
              </w:rPr>
            </w:pPr>
          </w:p>
        </w:tc>
        <w:tc>
          <w:tcPr>
            <w:tcW w:w="2070" w:type="dxa"/>
          </w:tcPr>
          <w:p w14:paraId="6C414198" w14:textId="77777777" w:rsidR="005C4629" w:rsidRDefault="00A31BFA" w:rsidP="00257E21">
            <w:pPr>
              <w:pStyle w:val="NormalWeb"/>
              <w:spacing w:before="0" w:beforeAutospacing="0" w:after="160" w:afterAutospacing="0"/>
            </w:pPr>
            <w:hyperlink r:id="rId18" w:history="1">
              <w:r w:rsidR="005C4629">
                <w:rPr>
                  <w:rStyle w:val="Hyperlink"/>
                  <w:rFonts w:ascii="Calibri" w:hAnsi="Calibri" w:cs="Calibri"/>
                  <w:color w:val="0563C1"/>
                  <w:sz w:val="20"/>
                  <w:szCs w:val="20"/>
                </w:rPr>
                <w:t>medreg@umn.edu</w:t>
              </w:r>
            </w:hyperlink>
          </w:p>
          <w:p w14:paraId="1E7E52BE" w14:textId="77777777" w:rsidR="005C4629" w:rsidRDefault="005C4629" w:rsidP="00257E21">
            <w:pPr>
              <w:pStyle w:val="NormalWeb"/>
              <w:spacing w:before="0" w:beforeAutospacing="0" w:after="160" w:afterAutospacing="0"/>
            </w:pPr>
            <w:r>
              <w:rPr>
                <w:rFonts w:ascii="Calibri" w:hAnsi="Calibri" w:cs="Calibri"/>
                <w:color w:val="000000"/>
                <w:sz w:val="20"/>
                <w:szCs w:val="20"/>
              </w:rPr>
              <w:t>612-626-5654</w:t>
            </w:r>
          </w:p>
          <w:p w14:paraId="0D7B5C3D" w14:textId="77777777" w:rsidR="000D731A" w:rsidRDefault="000D731A" w:rsidP="00257E21">
            <w:pPr>
              <w:rPr>
                <w:rFonts w:ascii="Arial" w:hAnsi="Arial" w:cs="Arial"/>
              </w:rPr>
            </w:pPr>
          </w:p>
        </w:tc>
        <w:tc>
          <w:tcPr>
            <w:tcW w:w="1620" w:type="dxa"/>
          </w:tcPr>
          <w:p w14:paraId="6085CDA0" w14:textId="77777777" w:rsidR="005C4629" w:rsidRDefault="005C4629" w:rsidP="00257E21">
            <w:pPr>
              <w:pStyle w:val="NormalWeb"/>
              <w:spacing w:before="0" w:beforeAutospacing="0" w:after="160" w:afterAutospacing="0"/>
            </w:pPr>
            <w:r>
              <w:rPr>
                <w:rFonts w:ascii="Calibri" w:hAnsi="Calibri" w:cs="Calibri"/>
                <w:color w:val="000000"/>
                <w:sz w:val="20"/>
                <w:szCs w:val="20"/>
              </w:rPr>
              <w:t>Requested via assignment of ancillary review.  May be assigned by either the researcher or IRB analyst</w:t>
            </w:r>
          </w:p>
          <w:p w14:paraId="508E45BC" w14:textId="77777777" w:rsidR="000D731A" w:rsidRDefault="000D731A" w:rsidP="00257E21">
            <w:pPr>
              <w:rPr>
                <w:rFonts w:ascii="Arial" w:hAnsi="Arial" w:cs="Arial"/>
              </w:rPr>
            </w:pPr>
          </w:p>
        </w:tc>
        <w:tc>
          <w:tcPr>
            <w:tcW w:w="2155" w:type="dxa"/>
          </w:tcPr>
          <w:p w14:paraId="7D161243" w14:textId="3A88424F" w:rsidR="000D731A" w:rsidRDefault="005C4629" w:rsidP="00257E21">
            <w:pPr>
              <w:rPr>
                <w:rFonts w:ascii="Arial" w:hAnsi="Arial" w:cs="Arial"/>
              </w:rPr>
            </w:pPr>
            <w:r>
              <w:rPr>
                <w:rFonts w:ascii="Calibri" w:hAnsi="Calibri" w:cs="Calibri"/>
                <w:color w:val="000000"/>
                <w:sz w:val="20"/>
                <w:szCs w:val="20"/>
              </w:rPr>
              <w:t>Must be completed prior to or during IRB Pre-Review.</w:t>
            </w:r>
          </w:p>
        </w:tc>
      </w:tr>
      <w:tr w:rsidR="00257E21" w14:paraId="7EF1E86F" w14:textId="77777777" w:rsidTr="005727E3">
        <w:trPr>
          <w:cantSplit/>
          <w:trHeight w:val="284"/>
        </w:trPr>
        <w:tc>
          <w:tcPr>
            <w:tcW w:w="1615" w:type="dxa"/>
          </w:tcPr>
          <w:p w14:paraId="33A62ACA" w14:textId="55164C40" w:rsidR="000D731A" w:rsidRPr="00627DB4" w:rsidRDefault="005C4629" w:rsidP="00257E21">
            <w:pPr>
              <w:rPr>
                <w:rFonts w:ascii="Arial" w:hAnsi="Arial" w:cs="Arial"/>
              </w:rPr>
            </w:pPr>
            <w:r w:rsidRPr="00627DB4">
              <w:rPr>
                <w:rFonts w:ascii="Calibri" w:hAnsi="Calibri" w:cs="Calibri"/>
                <w:color w:val="000000"/>
              </w:rPr>
              <w:lastRenderedPageBreak/>
              <w:t>Sponsor-Investigator Compliance</w:t>
            </w:r>
          </w:p>
        </w:tc>
        <w:tc>
          <w:tcPr>
            <w:tcW w:w="1620" w:type="dxa"/>
          </w:tcPr>
          <w:p w14:paraId="08C44D98" w14:textId="09E8F5AF" w:rsidR="000D731A" w:rsidRDefault="005C4629" w:rsidP="00257E21">
            <w:pPr>
              <w:rPr>
                <w:rFonts w:ascii="Arial" w:hAnsi="Arial" w:cs="Arial"/>
              </w:rPr>
            </w:pPr>
            <w:r>
              <w:rPr>
                <w:rFonts w:ascii="Calibri" w:hAnsi="Calibri" w:cs="Calibri"/>
                <w:color w:val="000000"/>
                <w:sz w:val="20"/>
                <w:szCs w:val="20"/>
              </w:rPr>
              <w:t>Review of projects with an investigational drug or device where the FDA holder is an affiliated PI. Confirming compliance with institutional and FDA requirements.</w:t>
            </w:r>
          </w:p>
        </w:tc>
        <w:tc>
          <w:tcPr>
            <w:tcW w:w="2790" w:type="dxa"/>
          </w:tcPr>
          <w:p w14:paraId="6DE17B43" w14:textId="10927F1F" w:rsidR="000D731A" w:rsidRDefault="005C4629" w:rsidP="00257E21">
            <w:pPr>
              <w:rPr>
                <w:rFonts w:ascii="Arial" w:hAnsi="Arial" w:cs="Arial"/>
              </w:rPr>
            </w:pPr>
            <w:r>
              <w:rPr>
                <w:rFonts w:ascii="Calibri" w:hAnsi="Calibri" w:cs="Calibri"/>
                <w:color w:val="000000"/>
                <w:sz w:val="20"/>
                <w:szCs w:val="20"/>
              </w:rPr>
              <w:t>Projects with an investigational drug or device where the FDA holder is an affiliated PI.</w:t>
            </w:r>
          </w:p>
        </w:tc>
        <w:tc>
          <w:tcPr>
            <w:tcW w:w="2520" w:type="dxa"/>
          </w:tcPr>
          <w:p w14:paraId="07E1DD5D" w14:textId="77777777" w:rsidR="005C4629" w:rsidRDefault="005C4629" w:rsidP="00257E21">
            <w:pPr>
              <w:pStyle w:val="NormalWeb"/>
              <w:numPr>
                <w:ilvl w:val="0"/>
                <w:numId w:val="12"/>
              </w:numPr>
              <w:spacing w:before="0" w:beforeAutospacing="0" w:after="0" w:afterAutospacing="0"/>
              <w:ind w:left="391"/>
              <w:textAlignment w:val="baseline"/>
              <w:rPr>
                <w:rFonts w:ascii="Arial" w:hAnsi="Arial" w:cs="Arial"/>
                <w:color w:val="000000"/>
                <w:sz w:val="20"/>
                <w:szCs w:val="20"/>
              </w:rPr>
            </w:pPr>
            <w:r>
              <w:rPr>
                <w:rFonts w:ascii="Calibri" w:hAnsi="Calibri" w:cs="Calibri"/>
                <w:color w:val="000000"/>
                <w:sz w:val="20"/>
                <w:szCs w:val="20"/>
              </w:rPr>
              <w:t>Initial Review</w:t>
            </w:r>
          </w:p>
          <w:p w14:paraId="7EF5EF54" w14:textId="77777777" w:rsidR="005C4629" w:rsidRDefault="005C4629" w:rsidP="00257E21">
            <w:pPr>
              <w:pStyle w:val="NormalWeb"/>
              <w:numPr>
                <w:ilvl w:val="0"/>
                <w:numId w:val="12"/>
              </w:numPr>
              <w:spacing w:before="0" w:beforeAutospacing="0" w:after="0" w:afterAutospacing="0"/>
              <w:ind w:left="391"/>
              <w:textAlignment w:val="baseline"/>
              <w:rPr>
                <w:rFonts w:ascii="Arial" w:hAnsi="Arial" w:cs="Arial"/>
                <w:color w:val="000000"/>
                <w:sz w:val="20"/>
                <w:szCs w:val="20"/>
              </w:rPr>
            </w:pPr>
            <w:r>
              <w:rPr>
                <w:rFonts w:ascii="Calibri" w:hAnsi="Calibri" w:cs="Calibri"/>
                <w:color w:val="000000"/>
                <w:sz w:val="20"/>
                <w:szCs w:val="20"/>
              </w:rPr>
              <w:t>Modifications that include an IND or IDE</w:t>
            </w:r>
          </w:p>
          <w:p w14:paraId="7E429845" w14:textId="77777777" w:rsidR="000D731A" w:rsidRDefault="000D731A" w:rsidP="00257E21">
            <w:pPr>
              <w:rPr>
                <w:rFonts w:ascii="Arial" w:hAnsi="Arial" w:cs="Arial"/>
              </w:rPr>
            </w:pPr>
          </w:p>
        </w:tc>
        <w:tc>
          <w:tcPr>
            <w:tcW w:w="2070" w:type="dxa"/>
          </w:tcPr>
          <w:p w14:paraId="5BD894AA" w14:textId="5455E97F" w:rsidR="000D731A" w:rsidRDefault="00A31BFA" w:rsidP="00257E21">
            <w:pPr>
              <w:rPr>
                <w:rFonts w:ascii="Arial" w:hAnsi="Arial" w:cs="Arial"/>
              </w:rPr>
            </w:pPr>
            <w:hyperlink r:id="rId19" w:history="1">
              <w:r w:rsidR="005C4629">
                <w:rPr>
                  <w:rStyle w:val="Hyperlink"/>
                  <w:rFonts w:ascii="Calibri" w:hAnsi="Calibri" w:cs="Calibri"/>
                  <w:color w:val="0563C1"/>
                  <w:sz w:val="20"/>
                  <w:szCs w:val="20"/>
                </w:rPr>
                <w:t>medreg@umn.edu</w:t>
              </w:r>
            </w:hyperlink>
          </w:p>
        </w:tc>
        <w:tc>
          <w:tcPr>
            <w:tcW w:w="1620" w:type="dxa"/>
          </w:tcPr>
          <w:p w14:paraId="1ECC1281" w14:textId="46F2FC6E" w:rsidR="000D731A" w:rsidRDefault="005C4629" w:rsidP="00257E21">
            <w:pPr>
              <w:rPr>
                <w:rFonts w:ascii="Arial" w:hAnsi="Arial" w:cs="Arial"/>
              </w:rPr>
            </w:pPr>
            <w:r>
              <w:rPr>
                <w:rFonts w:ascii="Calibri" w:hAnsi="Calibri" w:cs="Calibri"/>
                <w:color w:val="000000"/>
                <w:sz w:val="20"/>
                <w:szCs w:val="20"/>
              </w:rPr>
              <w:t>Assigned based on the protocol submitted in ETHOS</w:t>
            </w:r>
          </w:p>
        </w:tc>
        <w:tc>
          <w:tcPr>
            <w:tcW w:w="2155" w:type="dxa"/>
          </w:tcPr>
          <w:p w14:paraId="15EEA30D" w14:textId="63046BC3" w:rsidR="000D731A" w:rsidRDefault="005C4629" w:rsidP="00257E21">
            <w:pPr>
              <w:rPr>
                <w:rFonts w:ascii="Arial" w:hAnsi="Arial" w:cs="Arial"/>
              </w:rPr>
            </w:pPr>
            <w:r>
              <w:rPr>
                <w:rFonts w:ascii="Calibri" w:hAnsi="Calibri" w:cs="Calibri"/>
                <w:color w:val="000000"/>
                <w:sz w:val="20"/>
                <w:szCs w:val="20"/>
              </w:rPr>
              <w:t>Must be completed prior to final IRB approval.</w:t>
            </w:r>
          </w:p>
        </w:tc>
      </w:tr>
      <w:tr w:rsidR="00257E21" w14:paraId="3DBE239E" w14:textId="77777777" w:rsidTr="005727E3">
        <w:trPr>
          <w:cantSplit/>
        </w:trPr>
        <w:tc>
          <w:tcPr>
            <w:tcW w:w="1615" w:type="dxa"/>
          </w:tcPr>
          <w:p w14:paraId="30F38F2D" w14:textId="68C3BEAC" w:rsidR="005C4629" w:rsidRPr="00627DB4" w:rsidRDefault="005C4629" w:rsidP="00257E21">
            <w:pPr>
              <w:rPr>
                <w:rFonts w:ascii="Arial" w:hAnsi="Arial" w:cs="Arial"/>
              </w:rPr>
            </w:pPr>
            <w:r w:rsidRPr="00627DB4">
              <w:rPr>
                <w:rFonts w:ascii="Calibri" w:hAnsi="Calibri" w:cs="Calibri"/>
                <w:color w:val="000000"/>
              </w:rPr>
              <w:t>Expert Consults</w:t>
            </w:r>
          </w:p>
        </w:tc>
        <w:tc>
          <w:tcPr>
            <w:tcW w:w="1620" w:type="dxa"/>
          </w:tcPr>
          <w:p w14:paraId="0AC86DE5" w14:textId="5E6BAD29" w:rsidR="005C4629" w:rsidRDefault="005C4629" w:rsidP="00257E21">
            <w:pPr>
              <w:rPr>
                <w:rFonts w:ascii="Arial" w:hAnsi="Arial" w:cs="Arial"/>
              </w:rPr>
            </w:pPr>
            <w:r>
              <w:rPr>
                <w:rFonts w:ascii="Calibri" w:hAnsi="Calibri" w:cs="Calibri"/>
                <w:color w:val="000000"/>
                <w:sz w:val="20"/>
                <w:szCs w:val="20"/>
              </w:rPr>
              <w:t>Consultation Service – assigned to individuals based on documented expertise, including Office of the General Counsel</w:t>
            </w:r>
          </w:p>
        </w:tc>
        <w:tc>
          <w:tcPr>
            <w:tcW w:w="2790" w:type="dxa"/>
          </w:tcPr>
          <w:p w14:paraId="462C94AD" w14:textId="39A96A24" w:rsidR="005C4629" w:rsidRDefault="005C4629" w:rsidP="00257E21">
            <w:pPr>
              <w:rPr>
                <w:rFonts w:ascii="Arial" w:hAnsi="Arial" w:cs="Arial"/>
              </w:rPr>
            </w:pPr>
            <w:r>
              <w:rPr>
                <w:rFonts w:ascii="Calibri" w:hAnsi="Calibri" w:cs="Calibri"/>
                <w:color w:val="000000"/>
                <w:sz w:val="20"/>
                <w:szCs w:val="20"/>
              </w:rPr>
              <w:t>IRB pre-review indicates additional expertise is needed, study includes a capacity assessment tool other than the UBACC or MacCAT-CR. and/or counsel on applicability of laws affecting human research. </w:t>
            </w:r>
          </w:p>
        </w:tc>
        <w:tc>
          <w:tcPr>
            <w:tcW w:w="2520" w:type="dxa"/>
          </w:tcPr>
          <w:p w14:paraId="0B87BF50" w14:textId="77777777" w:rsidR="002E1B18" w:rsidRDefault="002E1B18" w:rsidP="002E1B18">
            <w:pPr>
              <w:pStyle w:val="NormalWeb"/>
              <w:numPr>
                <w:ilvl w:val="0"/>
                <w:numId w:val="29"/>
              </w:numPr>
              <w:spacing w:before="0" w:beforeAutospacing="0" w:after="0" w:afterAutospacing="0"/>
              <w:textAlignment w:val="baseline"/>
              <w:rPr>
                <w:rFonts w:ascii="Arial" w:hAnsi="Arial" w:cs="Arial"/>
                <w:color w:val="000000"/>
                <w:sz w:val="20"/>
                <w:szCs w:val="20"/>
              </w:rPr>
            </w:pPr>
            <w:r>
              <w:rPr>
                <w:rFonts w:ascii="Calibri" w:hAnsi="Calibri" w:cs="Calibri"/>
                <w:color w:val="000000"/>
                <w:sz w:val="20"/>
                <w:szCs w:val="20"/>
              </w:rPr>
              <w:t>Initial Review</w:t>
            </w:r>
          </w:p>
          <w:p w14:paraId="37508A50" w14:textId="69A551BF" w:rsidR="005C4629" w:rsidRPr="002E1B18" w:rsidRDefault="002E1B18" w:rsidP="002E1B18">
            <w:pPr>
              <w:pStyle w:val="NormalWeb"/>
              <w:numPr>
                <w:ilvl w:val="0"/>
                <w:numId w:val="29"/>
              </w:numPr>
              <w:spacing w:before="0" w:beforeAutospacing="0" w:after="160" w:afterAutospacing="0"/>
              <w:textAlignment w:val="baseline"/>
              <w:rPr>
                <w:rFonts w:ascii="Arial" w:hAnsi="Arial" w:cs="Arial"/>
                <w:color w:val="000000"/>
                <w:sz w:val="20"/>
                <w:szCs w:val="20"/>
              </w:rPr>
            </w:pPr>
            <w:r>
              <w:rPr>
                <w:rFonts w:ascii="Calibri" w:hAnsi="Calibri" w:cs="Calibri"/>
                <w:color w:val="000000"/>
                <w:sz w:val="20"/>
                <w:szCs w:val="20"/>
              </w:rPr>
              <w:t>Any submission requiring additional expertise</w:t>
            </w:r>
          </w:p>
        </w:tc>
        <w:tc>
          <w:tcPr>
            <w:tcW w:w="2070" w:type="dxa"/>
          </w:tcPr>
          <w:p w14:paraId="27D6F442" w14:textId="471BFCAE" w:rsidR="005C4629" w:rsidRDefault="005C4629" w:rsidP="00257E21">
            <w:pPr>
              <w:rPr>
                <w:rFonts w:ascii="Arial" w:hAnsi="Arial" w:cs="Arial"/>
              </w:rPr>
            </w:pPr>
            <w:r>
              <w:rPr>
                <w:sz w:val="20"/>
                <w:szCs w:val="20"/>
              </w:rPr>
              <w:t>N/A</w:t>
            </w:r>
          </w:p>
        </w:tc>
        <w:tc>
          <w:tcPr>
            <w:tcW w:w="1620" w:type="dxa"/>
          </w:tcPr>
          <w:p w14:paraId="7C654F9B" w14:textId="17B967BF" w:rsidR="005C4629" w:rsidRDefault="005C4629" w:rsidP="00257E21">
            <w:pPr>
              <w:rPr>
                <w:rFonts w:ascii="Arial" w:hAnsi="Arial" w:cs="Arial"/>
              </w:rPr>
            </w:pPr>
            <w:r>
              <w:rPr>
                <w:sz w:val="20"/>
                <w:szCs w:val="20"/>
              </w:rPr>
              <w:t>IRB Analysts request consultation prior to review.</w:t>
            </w:r>
          </w:p>
        </w:tc>
        <w:tc>
          <w:tcPr>
            <w:tcW w:w="2155" w:type="dxa"/>
          </w:tcPr>
          <w:p w14:paraId="55ABE006" w14:textId="3ECDB745" w:rsidR="005C4629" w:rsidRDefault="005C4629" w:rsidP="00257E21">
            <w:pPr>
              <w:rPr>
                <w:rFonts w:ascii="Arial" w:hAnsi="Arial" w:cs="Arial"/>
              </w:rPr>
            </w:pPr>
            <w:r>
              <w:rPr>
                <w:sz w:val="20"/>
                <w:szCs w:val="20"/>
              </w:rPr>
              <w:t>Must be completed prior to or during IRB Pre-Review.</w:t>
            </w:r>
          </w:p>
        </w:tc>
      </w:tr>
      <w:tr w:rsidR="00257E21" w14:paraId="555ED136" w14:textId="77777777" w:rsidTr="005727E3">
        <w:trPr>
          <w:cantSplit/>
          <w:trHeight w:val="1526"/>
        </w:trPr>
        <w:tc>
          <w:tcPr>
            <w:tcW w:w="1615" w:type="dxa"/>
          </w:tcPr>
          <w:p w14:paraId="7BC935DC" w14:textId="63FDFE4C" w:rsidR="005C4629" w:rsidRPr="00627DB4" w:rsidRDefault="005C4629" w:rsidP="00257E21">
            <w:pPr>
              <w:rPr>
                <w:rFonts w:ascii="Arial" w:hAnsi="Arial" w:cs="Arial"/>
              </w:rPr>
            </w:pPr>
            <w:r w:rsidRPr="00627DB4">
              <w:t>Gillette Research Compliance</w:t>
            </w:r>
          </w:p>
        </w:tc>
        <w:tc>
          <w:tcPr>
            <w:tcW w:w="1620" w:type="dxa"/>
          </w:tcPr>
          <w:p w14:paraId="221196B5" w14:textId="77777777" w:rsidR="005C4629" w:rsidRDefault="005C4629" w:rsidP="00257E21">
            <w:pPr>
              <w:rPr>
                <w:sz w:val="20"/>
                <w:szCs w:val="20"/>
                <w:lang w:val="fr-FR"/>
              </w:rPr>
            </w:pPr>
            <w:r w:rsidRPr="003A65B1">
              <w:rPr>
                <w:sz w:val="20"/>
                <w:szCs w:val="20"/>
                <w:lang w:val="fr-FR"/>
              </w:rPr>
              <w:t xml:space="preserve">Gillette HIPAA </w:t>
            </w:r>
          </w:p>
          <w:p w14:paraId="71244602" w14:textId="17CF6337" w:rsidR="005C4629" w:rsidRDefault="005C4629" w:rsidP="00257E21">
            <w:pPr>
              <w:rPr>
                <w:rFonts w:ascii="Arial" w:hAnsi="Arial" w:cs="Arial"/>
              </w:rPr>
            </w:pPr>
            <w:r w:rsidRPr="003A65B1">
              <w:rPr>
                <w:sz w:val="20"/>
                <w:szCs w:val="20"/>
                <w:lang w:val="fr-FR"/>
              </w:rPr>
              <w:t>FCOI Compliance</w:t>
            </w:r>
          </w:p>
        </w:tc>
        <w:tc>
          <w:tcPr>
            <w:tcW w:w="2790" w:type="dxa"/>
          </w:tcPr>
          <w:p w14:paraId="179EBC21" w14:textId="0A1DF712" w:rsidR="005C4629" w:rsidRDefault="005C4629" w:rsidP="00257E21">
            <w:pPr>
              <w:rPr>
                <w:rFonts w:ascii="Arial" w:hAnsi="Arial" w:cs="Arial"/>
              </w:rPr>
            </w:pPr>
            <w:r>
              <w:rPr>
                <w:sz w:val="20"/>
                <w:szCs w:val="20"/>
              </w:rPr>
              <w:t>When Gillette staff, locations or resources are indicated in ETOHS or in protocol (see PI affiliation, study staff and sites and resources pages)</w:t>
            </w:r>
          </w:p>
        </w:tc>
        <w:tc>
          <w:tcPr>
            <w:tcW w:w="2520" w:type="dxa"/>
          </w:tcPr>
          <w:p w14:paraId="3A9C28F5" w14:textId="1CEDCB86" w:rsidR="005C4629" w:rsidRDefault="005727E3" w:rsidP="00257E21">
            <w:pPr>
              <w:numPr>
                <w:ilvl w:val="0"/>
                <w:numId w:val="14"/>
              </w:numPr>
              <w:pBdr>
                <w:top w:val="nil"/>
                <w:left w:val="nil"/>
                <w:bottom w:val="nil"/>
                <w:right w:val="nil"/>
                <w:between w:val="nil"/>
              </w:pBdr>
              <w:ind w:left="185" w:hanging="207"/>
              <w:rPr>
                <w:color w:val="000000"/>
                <w:sz w:val="20"/>
                <w:szCs w:val="20"/>
              </w:rPr>
            </w:pPr>
            <w:r>
              <w:rPr>
                <w:color w:val="000000"/>
                <w:sz w:val="20"/>
                <w:szCs w:val="20"/>
              </w:rPr>
              <w:t xml:space="preserve">   </w:t>
            </w:r>
            <w:r w:rsidR="005C4629">
              <w:rPr>
                <w:color w:val="000000"/>
                <w:sz w:val="20"/>
                <w:szCs w:val="20"/>
              </w:rPr>
              <w:t>Initial Review</w:t>
            </w:r>
          </w:p>
          <w:p w14:paraId="13DC1A6B" w14:textId="1BF06796" w:rsidR="005C4629" w:rsidRDefault="005727E3" w:rsidP="00257E21">
            <w:pPr>
              <w:numPr>
                <w:ilvl w:val="0"/>
                <w:numId w:val="14"/>
              </w:numPr>
              <w:pBdr>
                <w:top w:val="nil"/>
                <w:left w:val="nil"/>
                <w:bottom w:val="nil"/>
                <w:right w:val="nil"/>
                <w:between w:val="nil"/>
              </w:pBdr>
              <w:ind w:left="185" w:hanging="207"/>
              <w:rPr>
                <w:color w:val="000000"/>
                <w:sz w:val="20"/>
                <w:szCs w:val="20"/>
              </w:rPr>
            </w:pPr>
            <w:r>
              <w:rPr>
                <w:color w:val="000000"/>
                <w:sz w:val="20"/>
                <w:szCs w:val="20"/>
              </w:rPr>
              <w:t xml:space="preserve">   </w:t>
            </w:r>
            <w:r w:rsidR="005C4629">
              <w:rPr>
                <w:color w:val="000000"/>
                <w:sz w:val="20"/>
                <w:szCs w:val="20"/>
              </w:rPr>
              <w:t>Continuing review</w:t>
            </w:r>
          </w:p>
          <w:sdt>
            <w:sdtPr>
              <w:tag w:val="goog_rdk_4"/>
              <w:id w:val="-2077661112"/>
            </w:sdtPr>
            <w:sdtEndPr/>
            <w:sdtContent>
              <w:p w14:paraId="7DEE456C" w14:textId="71E883F9" w:rsidR="005C4629" w:rsidRDefault="005727E3" w:rsidP="00257E21">
                <w:pPr>
                  <w:numPr>
                    <w:ilvl w:val="0"/>
                    <w:numId w:val="14"/>
                  </w:numPr>
                  <w:pBdr>
                    <w:top w:val="nil"/>
                    <w:left w:val="nil"/>
                    <w:bottom w:val="nil"/>
                    <w:right w:val="nil"/>
                    <w:between w:val="nil"/>
                  </w:pBdr>
                  <w:ind w:left="185" w:hanging="207"/>
                  <w:rPr>
                    <w:color w:val="000000"/>
                    <w:sz w:val="20"/>
                    <w:szCs w:val="20"/>
                  </w:rPr>
                </w:pPr>
                <w:r>
                  <w:t xml:space="preserve">   </w:t>
                </w:r>
                <w:r w:rsidR="005C4629">
                  <w:rPr>
                    <w:color w:val="000000"/>
                    <w:sz w:val="20"/>
                    <w:szCs w:val="20"/>
                  </w:rPr>
                  <w:t>Modifications which add Gillette staff/resources</w:t>
                </w:r>
                <w:sdt>
                  <w:sdtPr>
                    <w:tag w:val="goog_rdk_3"/>
                    <w:id w:val="-1966573271"/>
                  </w:sdtPr>
                  <w:sdtEndPr/>
                  <w:sdtContent/>
                </w:sdt>
              </w:p>
            </w:sdtContent>
          </w:sdt>
          <w:p w14:paraId="3FA40C24" w14:textId="38EA362C" w:rsidR="005C4629" w:rsidRPr="005727E3" w:rsidRDefault="00A31BFA" w:rsidP="005727E3">
            <w:pPr>
              <w:pStyle w:val="ListParagraph"/>
              <w:numPr>
                <w:ilvl w:val="0"/>
                <w:numId w:val="14"/>
              </w:numPr>
              <w:rPr>
                <w:rFonts w:ascii="Arial" w:hAnsi="Arial" w:cs="Arial"/>
              </w:rPr>
            </w:pPr>
            <w:sdt>
              <w:sdtPr>
                <w:tag w:val="goog_rdk_5"/>
                <w:id w:val="-197318252"/>
              </w:sdtPr>
              <w:sdtEndPr/>
              <w:sdtContent>
                <w:r w:rsidR="005C4629" w:rsidRPr="005727E3">
                  <w:rPr>
                    <w:color w:val="000000"/>
                    <w:sz w:val="20"/>
                    <w:szCs w:val="20"/>
                  </w:rPr>
                  <w:t>RNI’s related to Gillette</w:t>
                </w:r>
              </w:sdtContent>
            </w:sdt>
            <w:r w:rsidR="005C4629" w:rsidRPr="005727E3">
              <w:rPr>
                <w:color w:val="000000"/>
                <w:sz w:val="20"/>
                <w:szCs w:val="20"/>
              </w:rPr>
              <w:t xml:space="preserve"> </w:t>
            </w:r>
          </w:p>
        </w:tc>
        <w:tc>
          <w:tcPr>
            <w:tcW w:w="2070" w:type="dxa"/>
          </w:tcPr>
          <w:p w14:paraId="0C2D0C3B" w14:textId="77777777" w:rsidR="005C4629" w:rsidRDefault="005C4629" w:rsidP="00257E21">
            <w:pPr>
              <w:rPr>
                <w:sz w:val="20"/>
                <w:szCs w:val="20"/>
              </w:rPr>
            </w:pPr>
            <w:r>
              <w:rPr>
                <w:sz w:val="20"/>
                <w:szCs w:val="20"/>
              </w:rPr>
              <w:t>Elizabeth Nelson</w:t>
            </w:r>
          </w:p>
          <w:p w14:paraId="373AE988" w14:textId="77777777" w:rsidR="005C4629" w:rsidRDefault="00A31BFA" w:rsidP="00257E21">
            <w:pPr>
              <w:rPr>
                <w:color w:val="0563C1"/>
                <w:sz w:val="20"/>
                <w:szCs w:val="20"/>
                <w:u w:val="single"/>
              </w:rPr>
            </w:pPr>
            <w:hyperlink r:id="rId20">
              <w:r w:rsidR="005C4629">
                <w:rPr>
                  <w:color w:val="0563C1"/>
                  <w:sz w:val="20"/>
                  <w:szCs w:val="20"/>
                  <w:u w:val="single"/>
                </w:rPr>
                <w:t>research@gillettechildrens.com</w:t>
              </w:r>
            </w:hyperlink>
            <w:r w:rsidR="005C4629">
              <w:rPr>
                <w:color w:val="0563C1"/>
                <w:sz w:val="20"/>
                <w:szCs w:val="20"/>
                <w:u w:val="single"/>
              </w:rPr>
              <w:t xml:space="preserve"> </w:t>
            </w:r>
          </w:p>
          <w:p w14:paraId="137285DE" w14:textId="6A1DE5CA" w:rsidR="005C4629" w:rsidRDefault="005C4629" w:rsidP="00257E21">
            <w:pPr>
              <w:rPr>
                <w:rFonts w:ascii="Arial" w:hAnsi="Arial" w:cs="Arial"/>
              </w:rPr>
            </w:pPr>
            <w:r>
              <w:rPr>
                <w:color w:val="000000"/>
                <w:sz w:val="20"/>
                <w:szCs w:val="20"/>
                <w:u w:val="single"/>
              </w:rPr>
              <w:t>651-229-1745</w:t>
            </w:r>
          </w:p>
        </w:tc>
        <w:tc>
          <w:tcPr>
            <w:tcW w:w="1620" w:type="dxa"/>
          </w:tcPr>
          <w:p w14:paraId="2B863F63" w14:textId="180558FE" w:rsidR="005C4629" w:rsidRDefault="005C4629" w:rsidP="00257E21">
            <w:pPr>
              <w:rPr>
                <w:rFonts w:ascii="Arial" w:hAnsi="Arial" w:cs="Arial"/>
              </w:rPr>
            </w:pPr>
            <w:r>
              <w:rPr>
                <w:sz w:val="20"/>
                <w:szCs w:val="20"/>
              </w:rPr>
              <w:t xml:space="preserve">Through assignment of ancillary review.   </w:t>
            </w:r>
          </w:p>
        </w:tc>
        <w:tc>
          <w:tcPr>
            <w:tcW w:w="2155" w:type="dxa"/>
          </w:tcPr>
          <w:p w14:paraId="583A731C" w14:textId="2033BD40" w:rsidR="005C4629" w:rsidRDefault="005C4629" w:rsidP="00257E21">
            <w:pPr>
              <w:rPr>
                <w:rFonts w:ascii="Arial" w:hAnsi="Arial" w:cs="Arial"/>
              </w:rPr>
            </w:pPr>
            <w:r>
              <w:rPr>
                <w:sz w:val="20"/>
                <w:szCs w:val="20"/>
              </w:rPr>
              <w:t>Must be completed prior to or during IRB Pre-Review.</w:t>
            </w:r>
          </w:p>
        </w:tc>
      </w:tr>
      <w:tr w:rsidR="00257E21" w14:paraId="1D92B82E" w14:textId="77777777" w:rsidTr="005727E3">
        <w:trPr>
          <w:cantSplit/>
        </w:trPr>
        <w:tc>
          <w:tcPr>
            <w:tcW w:w="1615" w:type="dxa"/>
          </w:tcPr>
          <w:p w14:paraId="11105609" w14:textId="786D7004" w:rsidR="005C4629" w:rsidRPr="00627DB4" w:rsidRDefault="005C4629" w:rsidP="00257E21">
            <w:pPr>
              <w:rPr>
                <w:rFonts w:ascii="Arial" w:hAnsi="Arial" w:cs="Arial"/>
              </w:rPr>
            </w:pPr>
            <w:r w:rsidRPr="00627DB4">
              <w:t>Gillette Scientific Review</w:t>
            </w:r>
          </w:p>
        </w:tc>
        <w:tc>
          <w:tcPr>
            <w:tcW w:w="1620" w:type="dxa"/>
          </w:tcPr>
          <w:p w14:paraId="3AC1639F" w14:textId="196F3E45" w:rsidR="005C4629" w:rsidRDefault="005C4629" w:rsidP="00257E21">
            <w:pPr>
              <w:rPr>
                <w:rFonts w:ascii="Arial" w:hAnsi="Arial" w:cs="Arial"/>
              </w:rPr>
            </w:pPr>
            <w:r>
              <w:rPr>
                <w:sz w:val="20"/>
                <w:szCs w:val="20"/>
              </w:rPr>
              <w:t>Research design, scientific merit (Gillette Studies only)</w:t>
            </w:r>
          </w:p>
        </w:tc>
        <w:tc>
          <w:tcPr>
            <w:tcW w:w="2790" w:type="dxa"/>
          </w:tcPr>
          <w:p w14:paraId="2817A820" w14:textId="5BB4976F" w:rsidR="005C4629" w:rsidRDefault="005C4629" w:rsidP="00257E21">
            <w:pPr>
              <w:rPr>
                <w:rFonts w:ascii="Arial" w:hAnsi="Arial" w:cs="Arial"/>
              </w:rPr>
            </w:pPr>
            <w:r>
              <w:rPr>
                <w:sz w:val="20"/>
                <w:szCs w:val="20"/>
              </w:rPr>
              <w:t>When Gillette staff, locations or resources are indicated in ETHOS or in protocol (see PI affiliation, study staff and sites and resources pages)</w:t>
            </w:r>
          </w:p>
        </w:tc>
        <w:tc>
          <w:tcPr>
            <w:tcW w:w="2520" w:type="dxa"/>
          </w:tcPr>
          <w:p w14:paraId="3A226A45" w14:textId="77777777" w:rsidR="005C4629" w:rsidRDefault="005C4629" w:rsidP="00257E21">
            <w:pPr>
              <w:numPr>
                <w:ilvl w:val="0"/>
                <w:numId w:val="14"/>
              </w:numPr>
              <w:rPr>
                <w:sz w:val="20"/>
                <w:szCs w:val="20"/>
              </w:rPr>
            </w:pPr>
            <w:r>
              <w:rPr>
                <w:sz w:val="20"/>
                <w:szCs w:val="20"/>
              </w:rPr>
              <w:t>Initial Review</w:t>
            </w:r>
          </w:p>
          <w:p w14:paraId="2E99938A" w14:textId="5553B6F3" w:rsidR="005C4629" w:rsidRDefault="005C4629" w:rsidP="00257E21">
            <w:pPr>
              <w:rPr>
                <w:rFonts w:ascii="Arial" w:hAnsi="Arial" w:cs="Arial"/>
              </w:rPr>
            </w:pPr>
            <w:r>
              <w:rPr>
                <w:sz w:val="20"/>
                <w:szCs w:val="20"/>
              </w:rPr>
              <w:t>Significant modifications as determined by review</w:t>
            </w:r>
          </w:p>
        </w:tc>
        <w:tc>
          <w:tcPr>
            <w:tcW w:w="2070" w:type="dxa"/>
          </w:tcPr>
          <w:p w14:paraId="079E78F9" w14:textId="77777777" w:rsidR="005C4629" w:rsidRDefault="005C4629" w:rsidP="00257E21">
            <w:pPr>
              <w:rPr>
                <w:sz w:val="20"/>
                <w:szCs w:val="20"/>
              </w:rPr>
            </w:pPr>
            <w:r>
              <w:rPr>
                <w:sz w:val="20"/>
                <w:szCs w:val="20"/>
              </w:rPr>
              <w:t>Elizabeth Nelson</w:t>
            </w:r>
          </w:p>
          <w:p w14:paraId="6593A320" w14:textId="77777777" w:rsidR="005C4629" w:rsidRPr="001733B4" w:rsidRDefault="00A31BFA" w:rsidP="00257E21">
            <w:pPr>
              <w:rPr>
                <w:color w:val="0432FF"/>
                <w:sz w:val="20"/>
                <w:szCs w:val="20"/>
              </w:rPr>
            </w:pPr>
            <w:hyperlink r:id="rId21">
              <w:r w:rsidR="005C4629" w:rsidRPr="001733B4">
                <w:rPr>
                  <w:color w:val="0432FF"/>
                  <w:sz w:val="20"/>
                  <w:szCs w:val="20"/>
                  <w:u w:val="single"/>
                </w:rPr>
                <w:t>research@gillettechildrens.com</w:t>
              </w:r>
            </w:hyperlink>
          </w:p>
          <w:p w14:paraId="54BDECA6" w14:textId="6BE5E514" w:rsidR="005C4629" w:rsidRDefault="005C4629" w:rsidP="00257E21">
            <w:pPr>
              <w:rPr>
                <w:rFonts w:ascii="Arial" w:hAnsi="Arial" w:cs="Arial"/>
              </w:rPr>
            </w:pPr>
            <w:r>
              <w:rPr>
                <w:color w:val="000000"/>
                <w:sz w:val="20"/>
                <w:szCs w:val="20"/>
                <w:u w:val="single"/>
              </w:rPr>
              <w:t>651-229-1745</w:t>
            </w:r>
          </w:p>
        </w:tc>
        <w:tc>
          <w:tcPr>
            <w:tcW w:w="1620" w:type="dxa"/>
          </w:tcPr>
          <w:p w14:paraId="152C7C24" w14:textId="6D922407" w:rsidR="005C4629" w:rsidRDefault="005C4629" w:rsidP="00257E21">
            <w:pPr>
              <w:rPr>
                <w:rFonts w:ascii="Arial" w:hAnsi="Arial" w:cs="Arial"/>
              </w:rPr>
            </w:pPr>
            <w:r>
              <w:rPr>
                <w:sz w:val="20"/>
                <w:szCs w:val="20"/>
              </w:rPr>
              <w:t>Contact Gillette for additional information</w:t>
            </w:r>
          </w:p>
        </w:tc>
        <w:tc>
          <w:tcPr>
            <w:tcW w:w="2155" w:type="dxa"/>
          </w:tcPr>
          <w:p w14:paraId="66A330C4" w14:textId="1A7D12D0" w:rsidR="005C4629" w:rsidRDefault="005C4629" w:rsidP="00257E21">
            <w:pPr>
              <w:rPr>
                <w:rFonts w:ascii="Arial" w:hAnsi="Arial" w:cs="Arial"/>
              </w:rPr>
            </w:pPr>
            <w:r>
              <w:rPr>
                <w:sz w:val="20"/>
                <w:szCs w:val="20"/>
              </w:rPr>
              <w:t>Must be completed prior to or during IRB Pre-Review.</w:t>
            </w:r>
          </w:p>
        </w:tc>
      </w:tr>
      <w:tr w:rsidR="00257E21" w14:paraId="00A6B381" w14:textId="77777777" w:rsidTr="005727E3">
        <w:trPr>
          <w:cantSplit/>
        </w:trPr>
        <w:tc>
          <w:tcPr>
            <w:tcW w:w="1615" w:type="dxa"/>
          </w:tcPr>
          <w:p w14:paraId="4949A6E1" w14:textId="77777777" w:rsidR="005C4629" w:rsidRPr="00627DB4" w:rsidRDefault="00A31BFA" w:rsidP="00257E21">
            <w:pPr>
              <w:rPr>
                <w:color w:val="4472C4" w:themeColor="accent1"/>
              </w:rPr>
            </w:pPr>
            <w:hyperlink r:id="rId22">
              <w:r w:rsidR="005C4629" w:rsidRPr="00627DB4">
                <w:rPr>
                  <w:color w:val="4472C4" w:themeColor="accent1"/>
                  <w:u w:val="single"/>
                </w:rPr>
                <w:t>CTSI Best Practices Integrated Informatics Core</w:t>
              </w:r>
            </w:hyperlink>
          </w:p>
          <w:p w14:paraId="2993EBDE" w14:textId="77777777" w:rsidR="005C4629" w:rsidRPr="00627DB4" w:rsidRDefault="005C4629" w:rsidP="00257E21"/>
          <w:p w14:paraId="1C54FFC9" w14:textId="2ACC6D3B" w:rsidR="005C4629" w:rsidRPr="00627DB4" w:rsidRDefault="005C4629" w:rsidP="00257E21">
            <w:pPr>
              <w:rPr>
                <w:rFonts w:ascii="Arial" w:hAnsi="Arial" w:cs="Arial"/>
              </w:rPr>
            </w:pPr>
            <w:r w:rsidRPr="00627DB4">
              <w:t xml:space="preserve">Formerly </w:t>
            </w:r>
            <w:r w:rsidRPr="00627DB4">
              <w:rPr>
                <w:color w:val="4472C4" w:themeColor="accent1"/>
                <w:u w:val="single"/>
              </w:rPr>
              <w:t>Academic Health Center – Information Exchange (AHC-IE)</w:t>
            </w:r>
          </w:p>
        </w:tc>
        <w:tc>
          <w:tcPr>
            <w:tcW w:w="1620" w:type="dxa"/>
          </w:tcPr>
          <w:p w14:paraId="03E57666" w14:textId="7F873224" w:rsidR="005C4629" w:rsidRDefault="005C4629" w:rsidP="00257E21">
            <w:pPr>
              <w:rPr>
                <w:rFonts w:ascii="Arial" w:hAnsi="Arial" w:cs="Arial"/>
              </w:rPr>
            </w:pPr>
            <w:r>
              <w:rPr>
                <w:sz w:val="20"/>
                <w:szCs w:val="20"/>
              </w:rPr>
              <w:t xml:space="preserve"> Confirmation of IRB Approval to ensure appropriate access</w:t>
            </w:r>
          </w:p>
        </w:tc>
        <w:tc>
          <w:tcPr>
            <w:tcW w:w="2790" w:type="dxa"/>
          </w:tcPr>
          <w:p w14:paraId="14FBD942" w14:textId="009B9AC0" w:rsidR="005C4629" w:rsidRDefault="005C4629" w:rsidP="00257E21">
            <w:pPr>
              <w:rPr>
                <w:rFonts w:ascii="Arial" w:hAnsi="Arial" w:cs="Arial"/>
              </w:rPr>
            </w:pPr>
            <w:r>
              <w:rPr>
                <w:sz w:val="20"/>
                <w:szCs w:val="20"/>
              </w:rPr>
              <w:t>Indicate ‘Yes’ on the Sites and Resources page for AHC-IE</w:t>
            </w:r>
          </w:p>
        </w:tc>
        <w:tc>
          <w:tcPr>
            <w:tcW w:w="2520" w:type="dxa"/>
          </w:tcPr>
          <w:p w14:paraId="6C8C5B0A" w14:textId="5C89FBB2" w:rsidR="005C4629" w:rsidRDefault="005727E3" w:rsidP="00257E21">
            <w:pPr>
              <w:numPr>
                <w:ilvl w:val="0"/>
                <w:numId w:val="16"/>
              </w:numPr>
              <w:pBdr>
                <w:top w:val="nil"/>
                <w:left w:val="nil"/>
                <w:bottom w:val="nil"/>
                <w:right w:val="nil"/>
                <w:between w:val="nil"/>
              </w:pBdr>
              <w:ind w:left="211" w:hanging="211"/>
              <w:rPr>
                <w:color w:val="000000"/>
                <w:sz w:val="20"/>
                <w:szCs w:val="20"/>
              </w:rPr>
            </w:pPr>
            <w:r>
              <w:rPr>
                <w:color w:val="000000"/>
                <w:sz w:val="20"/>
                <w:szCs w:val="20"/>
              </w:rPr>
              <w:t xml:space="preserve">   </w:t>
            </w:r>
            <w:r w:rsidR="005C4629">
              <w:rPr>
                <w:color w:val="000000"/>
                <w:sz w:val="20"/>
                <w:szCs w:val="20"/>
              </w:rPr>
              <w:t>Initial Review</w:t>
            </w:r>
          </w:p>
          <w:p w14:paraId="1CCA8747" w14:textId="5F8D7DAD" w:rsidR="005C4629" w:rsidRPr="005727E3" w:rsidRDefault="005C4629" w:rsidP="005727E3">
            <w:pPr>
              <w:pStyle w:val="ListParagraph"/>
              <w:numPr>
                <w:ilvl w:val="0"/>
                <w:numId w:val="16"/>
              </w:numPr>
              <w:rPr>
                <w:rFonts w:ascii="Arial" w:hAnsi="Arial" w:cs="Arial"/>
              </w:rPr>
            </w:pPr>
            <w:r w:rsidRPr="005727E3">
              <w:rPr>
                <w:color w:val="000000"/>
                <w:sz w:val="20"/>
                <w:szCs w:val="20"/>
              </w:rPr>
              <w:t>Modifications which add or modify data from AHC-SDE</w:t>
            </w:r>
          </w:p>
        </w:tc>
        <w:tc>
          <w:tcPr>
            <w:tcW w:w="2070" w:type="dxa"/>
          </w:tcPr>
          <w:p w14:paraId="521B4291" w14:textId="77777777" w:rsidR="005C4629" w:rsidRDefault="005C4629" w:rsidP="00257E21">
            <w:pPr>
              <w:rPr>
                <w:sz w:val="20"/>
                <w:szCs w:val="20"/>
              </w:rPr>
            </w:pPr>
            <w:r>
              <w:rPr>
                <w:sz w:val="20"/>
                <w:szCs w:val="20"/>
              </w:rPr>
              <w:t>Information Exchange</w:t>
            </w:r>
          </w:p>
          <w:p w14:paraId="7AD5A404" w14:textId="77777777" w:rsidR="005C4629" w:rsidRDefault="00A31BFA" w:rsidP="00257E21">
            <w:pPr>
              <w:rPr>
                <w:sz w:val="20"/>
                <w:szCs w:val="20"/>
              </w:rPr>
            </w:pPr>
            <w:hyperlink r:id="rId23">
              <w:r w:rsidR="005C4629">
                <w:rPr>
                  <w:color w:val="0000FF"/>
                  <w:sz w:val="20"/>
                  <w:szCs w:val="20"/>
                  <w:u w:val="single"/>
                </w:rPr>
                <w:t>bpic@umn.edu</w:t>
              </w:r>
            </w:hyperlink>
          </w:p>
          <w:p w14:paraId="20B48184" w14:textId="77777777" w:rsidR="005C4629" w:rsidRDefault="005C4629" w:rsidP="00257E21">
            <w:pPr>
              <w:rPr>
                <w:rFonts w:ascii="Arial" w:hAnsi="Arial" w:cs="Arial"/>
              </w:rPr>
            </w:pPr>
          </w:p>
        </w:tc>
        <w:tc>
          <w:tcPr>
            <w:tcW w:w="1620" w:type="dxa"/>
          </w:tcPr>
          <w:p w14:paraId="71022A81" w14:textId="74A91135" w:rsidR="005C4629" w:rsidRDefault="005C4629" w:rsidP="00257E21">
            <w:pPr>
              <w:rPr>
                <w:sz w:val="20"/>
                <w:szCs w:val="20"/>
              </w:rPr>
            </w:pPr>
            <w:r>
              <w:rPr>
                <w:sz w:val="20"/>
                <w:szCs w:val="20"/>
              </w:rPr>
              <w:t xml:space="preserve">Submission of the </w:t>
            </w:r>
            <w:hyperlink r:id="rId24" w:history="1">
              <w:r w:rsidRPr="00A31BFA">
                <w:rPr>
                  <w:rStyle w:val="Hyperlink"/>
                  <w:sz w:val="20"/>
                  <w:szCs w:val="20"/>
                </w:rPr>
                <w:t>Informatics Consultation Request Form</w:t>
              </w:r>
            </w:hyperlink>
            <w:r w:rsidRPr="001733B4">
              <w:rPr>
                <w:color w:val="0432FF"/>
                <w:sz w:val="20"/>
                <w:szCs w:val="20"/>
              </w:rPr>
              <w:t xml:space="preserve"> </w:t>
            </w:r>
            <w:r>
              <w:rPr>
                <w:sz w:val="20"/>
                <w:szCs w:val="20"/>
              </w:rPr>
              <w:t>and protocol outside of ETHOS.</w:t>
            </w:r>
          </w:p>
          <w:p w14:paraId="7B259D35" w14:textId="77777777" w:rsidR="005C4629" w:rsidRDefault="005C4629" w:rsidP="00257E21">
            <w:pPr>
              <w:rPr>
                <w:sz w:val="20"/>
                <w:szCs w:val="20"/>
              </w:rPr>
            </w:pPr>
          </w:p>
          <w:p w14:paraId="6D0CEE51" w14:textId="77777777" w:rsidR="005C4629" w:rsidRDefault="005C4629" w:rsidP="00257E21">
            <w:pPr>
              <w:rPr>
                <w:sz w:val="20"/>
                <w:szCs w:val="20"/>
              </w:rPr>
            </w:pPr>
            <w:r>
              <w:rPr>
                <w:sz w:val="20"/>
                <w:szCs w:val="20"/>
              </w:rPr>
              <w:t>Assignment of AHC-IE also requires assignment of Fairview ancillary review.</w:t>
            </w:r>
          </w:p>
          <w:p w14:paraId="241F8134" w14:textId="77777777" w:rsidR="005C4629" w:rsidRDefault="005C4629" w:rsidP="00257E21">
            <w:pPr>
              <w:rPr>
                <w:sz w:val="20"/>
                <w:szCs w:val="20"/>
              </w:rPr>
            </w:pPr>
          </w:p>
          <w:p w14:paraId="47D96CCF" w14:textId="67AC7165" w:rsidR="005C4629" w:rsidRDefault="005C4629" w:rsidP="00257E21">
            <w:pPr>
              <w:rPr>
                <w:rFonts w:ascii="Arial" w:hAnsi="Arial" w:cs="Arial"/>
              </w:rPr>
            </w:pPr>
            <w:r>
              <w:rPr>
                <w:color w:val="FF0000"/>
                <w:sz w:val="20"/>
                <w:szCs w:val="20"/>
              </w:rPr>
              <w:t>Gillette excluded</w:t>
            </w:r>
          </w:p>
        </w:tc>
        <w:tc>
          <w:tcPr>
            <w:tcW w:w="2155" w:type="dxa"/>
          </w:tcPr>
          <w:p w14:paraId="5D8710CC" w14:textId="77777777" w:rsidR="005C4629" w:rsidRDefault="005C4629" w:rsidP="00257E21">
            <w:pPr>
              <w:rPr>
                <w:sz w:val="20"/>
                <w:szCs w:val="20"/>
              </w:rPr>
            </w:pPr>
            <w:r>
              <w:rPr>
                <w:sz w:val="20"/>
                <w:szCs w:val="20"/>
              </w:rPr>
              <w:t xml:space="preserve">Must be completed prior to final IRB approval is granted. </w:t>
            </w:r>
          </w:p>
          <w:p w14:paraId="7B302274" w14:textId="219C4B89" w:rsidR="005C4629" w:rsidRDefault="005C4629" w:rsidP="00257E21">
            <w:pPr>
              <w:rPr>
                <w:rFonts w:ascii="Arial" w:hAnsi="Arial" w:cs="Arial"/>
              </w:rPr>
            </w:pPr>
            <w:r>
              <w:rPr>
                <w:sz w:val="20"/>
                <w:szCs w:val="20"/>
              </w:rPr>
              <w:t>Exempt determinations will be held if the abbreviated application process is requested.</w:t>
            </w:r>
          </w:p>
        </w:tc>
      </w:tr>
      <w:tr w:rsidR="00257E21" w14:paraId="75D55326" w14:textId="77777777" w:rsidTr="005727E3">
        <w:trPr>
          <w:cantSplit/>
          <w:trHeight w:val="4109"/>
        </w:trPr>
        <w:tc>
          <w:tcPr>
            <w:tcW w:w="1615" w:type="dxa"/>
          </w:tcPr>
          <w:p w14:paraId="62C22B3D" w14:textId="13F6BAC3" w:rsidR="005C4629" w:rsidRPr="00627DB4" w:rsidRDefault="005C4629" w:rsidP="00257E21">
            <w:r w:rsidRPr="00627DB4">
              <w:t>CTSI Monitoring</w:t>
            </w:r>
          </w:p>
        </w:tc>
        <w:tc>
          <w:tcPr>
            <w:tcW w:w="1620" w:type="dxa"/>
          </w:tcPr>
          <w:p w14:paraId="7B679564" w14:textId="77777777" w:rsidR="005C4629" w:rsidRDefault="005C4629" w:rsidP="00257E21">
            <w:pPr>
              <w:rPr>
                <w:sz w:val="20"/>
                <w:szCs w:val="20"/>
              </w:rPr>
            </w:pPr>
            <w:r>
              <w:rPr>
                <w:sz w:val="20"/>
                <w:szCs w:val="20"/>
              </w:rPr>
              <w:t>Confirmation of appropriate use of CTSI monitoring services</w:t>
            </w:r>
          </w:p>
          <w:p w14:paraId="4E01B726" w14:textId="4FDB1344" w:rsidR="005C4629" w:rsidRDefault="005C4629" w:rsidP="00257E21">
            <w:pPr>
              <w:rPr>
                <w:sz w:val="20"/>
                <w:szCs w:val="20"/>
              </w:rPr>
            </w:pPr>
            <w:r>
              <w:rPr>
                <w:sz w:val="20"/>
                <w:szCs w:val="20"/>
              </w:rPr>
              <w:t xml:space="preserve">Please review eligibility criteria at </w:t>
            </w:r>
            <w:r w:rsidRPr="009345C8">
              <w:rPr>
                <w:sz w:val="20"/>
                <w:szCs w:val="20"/>
              </w:rPr>
              <w:t>https://ctsi.umn.edu/services/regulatory/clinical-trial-monitoring</w:t>
            </w:r>
            <w:r>
              <w:rPr>
                <w:sz w:val="20"/>
                <w:szCs w:val="20"/>
              </w:rPr>
              <w:t>.</w:t>
            </w:r>
          </w:p>
        </w:tc>
        <w:tc>
          <w:tcPr>
            <w:tcW w:w="2790" w:type="dxa"/>
          </w:tcPr>
          <w:p w14:paraId="227EEDF3" w14:textId="77777777" w:rsidR="005C4629" w:rsidRDefault="005C4629" w:rsidP="00257E21">
            <w:pPr>
              <w:pStyle w:val="ListParagraph"/>
              <w:numPr>
                <w:ilvl w:val="0"/>
                <w:numId w:val="17"/>
              </w:numPr>
              <w:ind w:left="271" w:hanging="180"/>
              <w:rPr>
                <w:sz w:val="20"/>
                <w:szCs w:val="20"/>
              </w:rPr>
            </w:pPr>
            <w:r>
              <w:rPr>
                <w:sz w:val="20"/>
                <w:szCs w:val="20"/>
              </w:rPr>
              <w:t>Studies that state they will use CTSI monitors</w:t>
            </w:r>
          </w:p>
          <w:p w14:paraId="32DC0D8A" w14:textId="7A7B395F" w:rsidR="005C4629" w:rsidRDefault="005C4629" w:rsidP="00257E21">
            <w:pPr>
              <w:rPr>
                <w:sz w:val="20"/>
                <w:szCs w:val="20"/>
              </w:rPr>
            </w:pPr>
            <w:r>
              <w:rPr>
                <w:sz w:val="20"/>
                <w:szCs w:val="20"/>
              </w:rPr>
              <w:t xml:space="preserve">Studies that involve a UMN-investigator </w:t>
            </w:r>
            <w:proofErr w:type="gramStart"/>
            <w:r>
              <w:rPr>
                <w:sz w:val="20"/>
                <w:szCs w:val="20"/>
              </w:rPr>
              <w:t>held  IND</w:t>
            </w:r>
            <w:proofErr w:type="gramEnd"/>
            <w:r>
              <w:rPr>
                <w:sz w:val="20"/>
                <w:szCs w:val="20"/>
              </w:rPr>
              <w:t>, IDE, or designated NSR-IDE by the UMN IRB</w:t>
            </w:r>
          </w:p>
        </w:tc>
        <w:tc>
          <w:tcPr>
            <w:tcW w:w="2520" w:type="dxa"/>
          </w:tcPr>
          <w:p w14:paraId="6454F742" w14:textId="77777777" w:rsidR="005C4629" w:rsidRDefault="005C4629" w:rsidP="00257E21">
            <w:pPr>
              <w:numPr>
                <w:ilvl w:val="0"/>
                <w:numId w:val="18"/>
              </w:numPr>
              <w:pBdr>
                <w:top w:val="nil"/>
                <w:left w:val="nil"/>
                <w:bottom w:val="nil"/>
                <w:right w:val="nil"/>
                <w:between w:val="nil"/>
              </w:pBdr>
              <w:ind w:left="301" w:hanging="270"/>
              <w:rPr>
                <w:color w:val="000000"/>
                <w:sz w:val="20"/>
                <w:szCs w:val="20"/>
              </w:rPr>
            </w:pPr>
            <w:r>
              <w:rPr>
                <w:color w:val="000000"/>
                <w:sz w:val="20"/>
                <w:szCs w:val="20"/>
              </w:rPr>
              <w:t>Initial Review</w:t>
            </w:r>
          </w:p>
          <w:p w14:paraId="3F002DB7" w14:textId="42B13B4A" w:rsidR="005C4629" w:rsidRDefault="005727E3" w:rsidP="00257E21">
            <w:pPr>
              <w:numPr>
                <w:ilvl w:val="0"/>
                <w:numId w:val="16"/>
              </w:numPr>
              <w:pBdr>
                <w:top w:val="nil"/>
                <w:left w:val="nil"/>
                <w:bottom w:val="nil"/>
                <w:right w:val="nil"/>
                <w:between w:val="nil"/>
              </w:pBdr>
              <w:ind w:left="211" w:hanging="211"/>
              <w:rPr>
                <w:color w:val="000000"/>
                <w:sz w:val="20"/>
                <w:szCs w:val="20"/>
              </w:rPr>
            </w:pPr>
            <w:r>
              <w:rPr>
                <w:color w:val="000000"/>
                <w:sz w:val="20"/>
                <w:szCs w:val="20"/>
              </w:rPr>
              <w:t xml:space="preserve">  </w:t>
            </w:r>
            <w:r w:rsidR="005C4629">
              <w:rPr>
                <w:color w:val="000000"/>
                <w:sz w:val="20"/>
                <w:szCs w:val="20"/>
              </w:rPr>
              <w:t>Modifications that add a drug or device</w:t>
            </w:r>
          </w:p>
        </w:tc>
        <w:tc>
          <w:tcPr>
            <w:tcW w:w="2070" w:type="dxa"/>
          </w:tcPr>
          <w:p w14:paraId="1DE0EC57" w14:textId="77777777" w:rsidR="005C4629" w:rsidRDefault="005C4629" w:rsidP="00257E21">
            <w:pPr>
              <w:rPr>
                <w:sz w:val="20"/>
                <w:szCs w:val="20"/>
              </w:rPr>
            </w:pPr>
            <w:r>
              <w:rPr>
                <w:sz w:val="20"/>
                <w:szCs w:val="20"/>
              </w:rPr>
              <w:t>Sydney Viel</w:t>
            </w:r>
          </w:p>
          <w:p w14:paraId="58D78512" w14:textId="77777777" w:rsidR="005C4629" w:rsidRPr="001733B4" w:rsidRDefault="00A31BFA" w:rsidP="00257E21">
            <w:pPr>
              <w:rPr>
                <w:color w:val="0432FF"/>
                <w:sz w:val="20"/>
                <w:szCs w:val="20"/>
              </w:rPr>
            </w:pPr>
            <w:hyperlink r:id="rId25" w:history="1">
              <w:r w:rsidR="005C4629" w:rsidRPr="001733B4">
                <w:rPr>
                  <w:rStyle w:val="Hyperlink"/>
                  <w:color w:val="0432FF"/>
                  <w:sz w:val="20"/>
                  <w:szCs w:val="20"/>
                </w:rPr>
                <w:t>fencl003@umn.edu</w:t>
              </w:r>
            </w:hyperlink>
          </w:p>
          <w:p w14:paraId="04E6A35F" w14:textId="5F18D79B" w:rsidR="005C4629" w:rsidRDefault="005C4629" w:rsidP="00257E21">
            <w:pPr>
              <w:rPr>
                <w:sz w:val="20"/>
                <w:szCs w:val="20"/>
              </w:rPr>
            </w:pPr>
            <w:r>
              <w:rPr>
                <w:sz w:val="20"/>
                <w:szCs w:val="20"/>
              </w:rPr>
              <w:t>612-626-0549</w:t>
            </w:r>
          </w:p>
        </w:tc>
        <w:tc>
          <w:tcPr>
            <w:tcW w:w="1620" w:type="dxa"/>
          </w:tcPr>
          <w:p w14:paraId="1F16177B" w14:textId="57144DDE" w:rsidR="005C4629" w:rsidRDefault="005C4629" w:rsidP="00257E21">
            <w:pPr>
              <w:rPr>
                <w:sz w:val="20"/>
                <w:szCs w:val="20"/>
              </w:rPr>
            </w:pPr>
            <w:r>
              <w:rPr>
                <w:sz w:val="20"/>
                <w:szCs w:val="20"/>
              </w:rPr>
              <w:t>Requested via assignment of ancillary review. May be assigned by either the researcher or IRB analyst.</w:t>
            </w:r>
          </w:p>
        </w:tc>
        <w:tc>
          <w:tcPr>
            <w:tcW w:w="2155" w:type="dxa"/>
          </w:tcPr>
          <w:p w14:paraId="2D8F845B" w14:textId="40FC2174" w:rsidR="005C4629" w:rsidRDefault="005C4629" w:rsidP="00257E21">
            <w:pPr>
              <w:rPr>
                <w:sz w:val="20"/>
                <w:szCs w:val="20"/>
              </w:rPr>
            </w:pPr>
            <w:r>
              <w:rPr>
                <w:sz w:val="20"/>
                <w:szCs w:val="20"/>
              </w:rPr>
              <w:t>Must be completed prior to final IRB approval is granted.</w:t>
            </w:r>
          </w:p>
        </w:tc>
      </w:tr>
      <w:tr w:rsidR="00257E21" w14:paraId="7D8609D3" w14:textId="77777777" w:rsidTr="005727E3">
        <w:trPr>
          <w:cantSplit/>
        </w:trPr>
        <w:tc>
          <w:tcPr>
            <w:tcW w:w="1615" w:type="dxa"/>
          </w:tcPr>
          <w:p w14:paraId="4A100B45" w14:textId="04571D15" w:rsidR="005C4629" w:rsidRPr="00627DB4" w:rsidRDefault="00A31BFA" w:rsidP="00257E21">
            <w:hyperlink r:id="rId26">
              <w:r w:rsidR="005C4629" w:rsidRPr="00627DB4">
                <w:rPr>
                  <w:color w:val="0432FF"/>
                  <w:u w:val="single"/>
                </w:rPr>
                <w:t>All University Radiation Protection Committee (AURPC)</w:t>
              </w:r>
            </w:hyperlink>
          </w:p>
        </w:tc>
        <w:tc>
          <w:tcPr>
            <w:tcW w:w="1620" w:type="dxa"/>
          </w:tcPr>
          <w:p w14:paraId="648D3992" w14:textId="1D03693A" w:rsidR="005C4629" w:rsidRDefault="005C4629" w:rsidP="00257E21">
            <w:pPr>
              <w:rPr>
                <w:sz w:val="20"/>
                <w:szCs w:val="20"/>
              </w:rPr>
            </w:pPr>
            <w:r>
              <w:rPr>
                <w:sz w:val="20"/>
                <w:szCs w:val="20"/>
              </w:rPr>
              <w:t>Radiation Safety</w:t>
            </w:r>
          </w:p>
        </w:tc>
        <w:tc>
          <w:tcPr>
            <w:tcW w:w="2790" w:type="dxa"/>
          </w:tcPr>
          <w:p w14:paraId="26E88B32" w14:textId="77777777" w:rsidR="005C4629" w:rsidRDefault="005C4629" w:rsidP="00257E21">
            <w:pPr>
              <w:rPr>
                <w:sz w:val="20"/>
                <w:szCs w:val="20"/>
              </w:rPr>
            </w:pPr>
            <w:r>
              <w:rPr>
                <w:sz w:val="20"/>
                <w:szCs w:val="20"/>
              </w:rPr>
              <w:t>Protocol indicates use of:</w:t>
            </w:r>
          </w:p>
          <w:p w14:paraId="18E67846" w14:textId="4230CEB0" w:rsidR="005C4629" w:rsidRDefault="005C4629" w:rsidP="00257E21">
            <w:pPr>
              <w:rPr>
                <w:sz w:val="20"/>
                <w:szCs w:val="20"/>
              </w:rPr>
            </w:pPr>
            <w:r>
              <w:rPr>
                <w:sz w:val="20"/>
                <w:szCs w:val="20"/>
              </w:rPr>
              <w:t xml:space="preserve">x-ray imaging, radiopharmaceuticals, external </w:t>
            </w:r>
            <w:proofErr w:type="gramStart"/>
            <w:r>
              <w:rPr>
                <w:sz w:val="20"/>
                <w:szCs w:val="20"/>
              </w:rPr>
              <w:t>beam</w:t>
            </w:r>
            <w:proofErr w:type="gramEnd"/>
            <w:r>
              <w:rPr>
                <w:sz w:val="20"/>
                <w:szCs w:val="20"/>
              </w:rPr>
              <w:t xml:space="preserve"> or brachytherapy</w:t>
            </w:r>
          </w:p>
        </w:tc>
        <w:tc>
          <w:tcPr>
            <w:tcW w:w="2520" w:type="dxa"/>
          </w:tcPr>
          <w:p w14:paraId="65760163" w14:textId="77777777" w:rsidR="005C4629" w:rsidRDefault="005C4629" w:rsidP="00257E21">
            <w:pPr>
              <w:numPr>
                <w:ilvl w:val="0"/>
                <w:numId w:val="20"/>
              </w:numPr>
              <w:pBdr>
                <w:top w:val="nil"/>
                <w:left w:val="nil"/>
                <w:bottom w:val="nil"/>
                <w:right w:val="nil"/>
                <w:between w:val="nil"/>
              </w:pBdr>
              <w:ind w:left="275" w:hanging="275"/>
              <w:rPr>
                <w:color w:val="000000"/>
                <w:sz w:val="20"/>
                <w:szCs w:val="20"/>
              </w:rPr>
            </w:pPr>
            <w:r>
              <w:rPr>
                <w:color w:val="000000"/>
                <w:sz w:val="20"/>
                <w:szCs w:val="20"/>
              </w:rPr>
              <w:t>Initial Review</w:t>
            </w:r>
          </w:p>
          <w:p w14:paraId="7B202FCB" w14:textId="77777777" w:rsidR="005C4629" w:rsidRDefault="005C4629" w:rsidP="00257E21">
            <w:pPr>
              <w:numPr>
                <w:ilvl w:val="0"/>
                <w:numId w:val="20"/>
              </w:numPr>
              <w:pBdr>
                <w:top w:val="nil"/>
                <w:left w:val="nil"/>
                <w:bottom w:val="nil"/>
                <w:right w:val="nil"/>
                <w:between w:val="nil"/>
              </w:pBdr>
              <w:ind w:left="275" w:hanging="275"/>
              <w:rPr>
                <w:color w:val="000000"/>
                <w:sz w:val="20"/>
                <w:szCs w:val="20"/>
              </w:rPr>
            </w:pPr>
            <w:r>
              <w:rPr>
                <w:color w:val="000000"/>
                <w:sz w:val="20"/>
                <w:szCs w:val="20"/>
              </w:rPr>
              <w:t>Significant modifications</w:t>
            </w:r>
          </w:p>
          <w:p w14:paraId="5CA0CDED" w14:textId="77777777" w:rsidR="005C4629" w:rsidRDefault="005C4629" w:rsidP="005727E3">
            <w:pPr>
              <w:pBdr>
                <w:top w:val="nil"/>
                <w:left w:val="nil"/>
                <w:bottom w:val="nil"/>
                <w:right w:val="nil"/>
                <w:between w:val="nil"/>
              </w:pBdr>
              <w:rPr>
                <w:color w:val="000000"/>
                <w:sz w:val="20"/>
                <w:szCs w:val="20"/>
              </w:rPr>
            </w:pPr>
          </w:p>
        </w:tc>
        <w:tc>
          <w:tcPr>
            <w:tcW w:w="2070" w:type="dxa"/>
          </w:tcPr>
          <w:p w14:paraId="1CD6701D" w14:textId="77777777" w:rsidR="005C4629" w:rsidRDefault="005C4629" w:rsidP="00257E21">
            <w:pPr>
              <w:rPr>
                <w:sz w:val="20"/>
                <w:szCs w:val="20"/>
              </w:rPr>
            </w:pPr>
            <w:r>
              <w:rPr>
                <w:sz w:val="20"/>
                <w:szCs w:val="20"/>
              </w:rPr>
              <w:t>Bryce Armstrong</w:t>
            </w:r>
          </w:p>
          <w:p w14:paraId="6997DBA1" w14:textId="77777777" w:rsidR="005C4629" w:rsidRPr="001733B4" w:rsidRDefault="00A31BFA" w:rsidP="00257E21">
            <w:pPr>
              <w:rPr>
                <w:color w:val="0432FF"/>
                <w:sz w:val="20"/>
                <w:szCs w:val="20"/>
              </w:rPr>
            </w:pPr>
            <w:hyperlink r:id="rId27">
              <w:r w:rsidR="005C4629" w:rsidRPr="001733B4">
                <w:rPr>
                  <w:color w:val="0432FF"/>
                  <w:sz w:val="20"/>
                  <w:szCs w:val="20"/>
                  <w:u w:val="single"/>
                </w:rPr>
                <w:t>barmstro@umn.edu</w:t>
              </w:r>
            </w:hyperlink>
          </w:p>
          <w:p w14:paraId="2008D54A" w14:textId="01D19A31" w:rsidR="005C4629" w:rsidRDefault="005C4629" w:rsidP="00257E21">
            <w:pPr>
              <w:rPr>
                <w:sz w:val="20"/>
                <w:szCs w:val="20"/>
              </w:rPr>
            </w:pPr>
            <w:r>
              <w:rPr>
                <w:sz w:val="20"/>
                <w:szCs w:val="20"/>
              </w:rPr>
              <w:t>612-626-6764</w:t>
            </w:r>
          </w:p>
        </w:tc>
        <w:tc>
          <w:tcPr>
            <w:tcW w:w="1620" w:type="dxa"/>
          </w:tcPr>
          <w:p w14:paraId="6114F016" w14:textId="77777777" w:rsidR="005C4629" w:rsidRDefault="005C4629" w:rsidP="00257E21">
            <w:pPr>
              <w:rPr>
                <w:sz w:val="20"/>
                <w:szCs w:val="20"/>
              </w:rPr>
            </w:pPr>
            <w:r>
              <w:rPr>
                <w:sz w:val="20"/>
                <w:szCs w:val="20"/>
              </w:rPr>
              <w:t xml:space="preserve">Through submission of AURPC </w:t>
            </w:r>
            <w:hyperlink r:id="rId28">
              <w:r>
                <w:rPr>
                  <w:color w:val="0563C1"/>
                  <w:sz w:val="20"/>
                  <w:szCs w:val="20"/>
                  <w:u w:val="single"/>
                </w:rPr>
                <w:t>Human Use application</w:t>
              </w:r>
            </w:hyperlink>
            <w:r>
              <w:rPr>
                <w:sz w:val="20"/>
                <w:szCs w:val="20"/>
              </w:rPr>
              <w:t xml:space="preserve">  </w:t>
            </w:r>
          </w:p>
          <w:p w14:paraId="7B4B753A" w14:textId="77777777" w:rsidR="005C4629" w:rsidRDefault="005C4629" w:rsidP="00257E21">
            <w:pPr>
              <w:rPr>
                <w:sz w:val="20"/>
                <w:szCs w:val="20"/>
              </w:rPr>
            </w:pPr>
          </w:p>
          <w:p w14:paraId="0DEB49B5" w14:textId="18DD1EDE" w:rsidR="005C4629" w:rsidRDefault="005C4629" w:rsidP="00257E21">
            <w:pPr>
              <w:rPr>
                <w:sz w:val="20"/>
                <w:szCs w:val="20"/>
              </w:rPr>
            </w:pPr>
            <w:r>
              <w:rPr>
                <w:sz w:val="20"/>
                <w:szCs w:val="20"/>
              </w:rPr>
              <w:t>See</w:t>
            </w:r>
            <w:r w:rsidRPr="001733B4">
              <w:rPr>
                <w:color w:val="0432FF"/>
                <w:sz w:val="20"/>
                <w:szCs w:val="20"/>
              </w:rPr>
              <w:t xml:space="preserve"> </w:t>
            </w:r>
            <w:hyperlink r:id="rId29">
              <w:r w:rsidRPr="001733B4">
                <w:rPr>
                  <w:color w:val="0432FF"/>
                  <w:sz w:val="20"/>
                  <w:szCs w:val="20"/>
                  <w:u w:val="single"/>
                </w:rPr>
                <w:t>Submission Resources</w:t>
              </w:r>
            </w:hyperlink>
            <w:r>
              <w:rPr>
                <w:sz w:val="20"/>
                <w:szCs w:val="20"/>
              </w:rPr>
              <w:t xml:space="preserve"> for additional guidance  </w:t>
            </w:r>
          </w:p>
        </w:tc>
        <w:tc>
          <w:tcPr>
            <w:tcW w:w="2155" w:type="dxa"/>
          </w:tcPr>
          <w:p w14:paraId="167765B8" w14:textId="75F5FA98" w:rsidR="005C4629" w:rsidRDefault="005C4629" w:rsidP="00257E21">
            <w:pPr>
              <w:rPr>
                <w:sz w:val="20"/>
                <w:szCs w:val="20"/>
              </w:rPr>
            </w:pPr>
            <w:r>
              <w:rPr>
                <w:sz w:val="20"/>
                <w:szCs w:val="20"/>
              </w:rPr>
              <w:t xml:space="preserve">Must be completed prior to final IRB approval is granted. </w:t>
            </w:r>
          </w:p>
        </w:tc>
      </w:tr>
      <w:tr w:rsidR="00257E21" w14:paraId="5CA43D49" w14:textId="77777777" w:rsidTr="005727E3">
        <w:trPr>
          <w:cantSplit/>
        </w:trPr>
        <w:tc>
          <w:tcPr>
            <w:tcW w:w="1615" w:type="dxa"/>
          </w:tcPr>
          <w:p w14:paraId="3C99DDD1" w14:textId="29CCD0C6" w:rsidR="005C4629" w:rsidRPr="00627DB4" w:rsidRDefault="00A31BFA" w:rsidP="00257E21">
            <w:hyperlink r:id="rId30">
              <w:r w:rsidR="005C4629" w:rsidRPr="00627DB4">
                <w:rPr>
                  <w:color w:val="0432FF"/>
                  <w:u w:val="single"/>
                </w:rPr>
                <w:t>Bioreposito</w:t>
              </w:r>
              <w:r w:rsidR="002E1B18" w:rsidRPr="00627DB4">
                <w:rPr>
                  <w:color w:val="0432FF"/>
                  <w:u w:val="single"/>
                </w:rPr>
                <w:t>r</w:t>
              </w:r>
              <w:r w:rsidR="005C4629" w:rsidRPr="00627DB4">
                <w:rPr>
                  <w:color w:val="0432FF"/>
                  <w:u w:val="single"/>
                </w:rPr>
                <w:t>y and Laboratory Services (BLS)</w:t>
              </w:r>
            </w:hyperlink>
            <w:r w:rsidR="005C4629" w:rsidRPr="00627DB4">
              <w:t xml:space="preserve"> Formerly BioNET</w:t>
            </w:r>
          </w:p>
        </w:tc>
        <w:tc>
          <w:tcPr>
            <w:tcW w:w="1620" w:type="dxa"/>
          </w:tcPr>
          <w:p w14:paraId="5539FA43" w14:textId="77777777" w:rsidR="005C4629" w:rsidRDefault="005C4629" w:rsidP="00257E21">
            <w:pPr>
              <w:rPr>
                <w:sz w:val="20"/>
                <w:szCs w:val="20"/>
              </w:rPr>
            </w:pPr>
            <w:r>
              <w:rPr>
                <w:sz w:val="20"/>
                <w:szCs w:val="20"/>
              </w:rPr>
              <w:t>BLS (BioNET)</w:t>
            </w:r>
          </w:p>
          <w:p w14:paraId="75DF7B81" w14:textId="2C42AD44" w:rsidR="005C4629" w:rsidRDefault="005C4629" w:rsidP="00257E21">
            <w:pPr>
              <w:rPr>
                <w:sz w:val="20"/>
                <w:szCs w:val="20"/>
              </w:rPr>
            </w:pPr>
            <w:r>
              <w:rPr>
                <w:sz w:val="20"/>
                <w:szCs w:val="20"/>
              </w:rPr>
              <w:t>Oversight</w:t>
            </w:r>
          </w:p>
        </w:tc>
        <w:tc>
          <w:tcPr>
            <w:tcW w:w="2790" w:type="dxa"/>
          </w:tcPr>
          <w:p w14:paraId="1992093D" w14:textId="14FDC3C7" w:rsidR="005C4629" w:rsidRDefault="005C4629" w:rsidP="00257E21">
            <w:pPr>
              <w:rPr>
                <w:sz w:val="20"/>
                <w:szCs w:val="20"/>
              </w:rPr>
            </w:pPr>
            <w:r>
              <w:rPr>
                <w:sz w:val="20"/>
                <w:szCs w:val="20"/>
              </w:rPr>
              <w:t xml:space="preserve">Use of </w:t>
            </w:r>
            <w:proofErr w:type="gramStart"/>
            <w:r>
              <w:rPr>
                <w:sz w:val="20"/>
                <w:szCs w:val="20"/>
              </w:rPr>
              <w:t>BLS  (</w:t>
            </w:r>
            <w:proofErr w:type="gramEnd"/>
            <w:r>
              <w:rPr>
                <w:sz w:val="20"/>
                <w:szCs w:val="20"/>
              </w:rPr>
              <w:t>BioNET) or the need to access/collect tissue or accessing BLS data for research is indicated in the protocol</w:t>
            </w:r>
          </w:p>
        </w:tc>
        <w:tc>
          <w:tcPr>
            <w:tcW w:w="2520" w:type="dxa"/>
          </w:tcPr>
          <w:p w14:paraId="664C5400" w14:textId="77777777" w:rsidR="005C4629" w:rsidRDefault="005C4629" w:rsidP="00257E21">
            <w:pPr>
              <w:numPr>
                <w:ilvl w:val="0"/>
                <w:numId w:val="21"/>
              </w:numPr>
              <w:pBdr>
                <w:top w:val="nil"/>
                <w:left w:val="nil"/>
                <w:bottom w:val="nil"/>
                <w:right w:val="nil"/>
                <w:between w:val="nil"/>
              </w:pBdr>
              <w:ind w:left="275" w:hanging="294"/>
              <w:rPr>
                <w:color w:val="000000"/>
                <w:sz w:val="20"/>
                <w:szCs w:val="20"/>
              </w:rPr>
            </w:pPr>
            <w:r>
              <w:rPr>
                <w:color w:val="000000"/>
                <w:sz w:val="20"/>
                <w:szCs w:val="20"/>
              </w:rPr>
              <w:t>Initial Review</w:t>
            </w:r>
          </w:p>
          <w:p w14:paraId="127928ED" w14:textId="59F78FC0" w:rsidR="005C4629" w:rsidRDefault="005727E3" w:rsidP="00257E21">
            <w:pPr>
              <w:numPr>
                <w:ilvl w:val="0"/>
                <w:numId w:val="16"/>
              </w:numPr>
              <w:pBdr>
                <w:top w:val="nil"/>
                <w:left w:val="nil"/>
                <w:bottom w:val="nil"/>
                <w:right w:val="nil"/>
                <w:between w:val="nil"/>
              </w:pBdr>
              <w:ind w:left="211" w:hanging="211"/>
              <w:rPr>
                <w:color w:val="000000"/>
                <w:sz w:val="20"/>
                <w:szCs w:val="20"/>
              </w:rPr>
            </w:pPr>
            <w:r>
              <w:rPr>
                <w:color w:val="000000"/>
                <w:sz w:val="20"/>
                <w:szCs w:val="20"/>
              </w:rPr>
              <w:t xml:space="preserve"> </w:t>
            </w:r>
            <w:r w:rsidR="005C4629">
              <w:rPr>
                <w:color w:val="000000"/>
                <w:sz w:val="20"/>
                <w:szCs w:val="20"/>
              </w:rPr>
              <w:t>Modifications which add or modify BLS (BioNet) services</w:t>
            </w:r>
          </w:p>
        </w:tc>
        <w:tc>
          <w:tcPr>
            <w:tcW w:w="2070" w:type="dxa"/>
          </w:tcPr>
          <w:p w14:paraId="32136F58" w14:textId="77777777" w:rsidR="005C4629" w:rsidRPr="009754B7" w:rsidRDefault="00A31BFA" w:rsidP="00257E21">
            <w:pPr>
              <w:rPr>
                <w:sz w:val="20"/>
                <w:szCs w:val="20"/>
              </w:rPr>
            </w:pPr>
            <w:hyperlink r:id="rId31" w:history="1">
              <w:r w:rsidR="005C4629" w:rsidRPr="00FF6494">
                <w:rPr>
                  <w:rStyle w:val="Hyperlink"/>
                  <w:sz w:val="20"/>
                  <w:szCs w:val="20"/>
                </w:rPr>
                <w:t>bionet@umn.edu</w:t>
              </w:r>
            </w:hyperlink>
            <w:r w:rsidR="005C4629" w:rsidRPr="00FF6494">
              <w:rPr>
                <w:sz w:val="20"/>
                <w:szCs w:val="20"/>
              </w:rPr>
              <w:t xml:space="preserve"> </w:t>
            </w:r>
            <w:r w:rsidR="005C4629" w:rsidRPr="009754B7">
              <w:rPr>
                <w:sz w:val="20"/>
                <w:szCs w:val="20"/>
              </w:rPr>
              <w:t xml:space="preserve"> </w:t>
            </w:r>
          </w:p>
          <w:p w14:paraId="2EA34BBA" w14:textId="77777777" w:rsidR="005C4629" w:rsidRDefault="005C4629" w:rsidP="00257E21">
            <w:pPr>
              <w:rPr>
                <w:sz w:val="20"/>
                <w:szCs w:val="20"/>
              </w:rPr>
            </w:pPr>
          </w:p>
          <w:p w14:paraId="4D23D5AD" w14:textId="77777777" w:rsidR="005C4629" w:rsidRDefault="005C4629" w:rsidP="00257E21">
            <w:pPr>
              <w:rPr>
                <w:sz w:val="20"/>
                <w:szCs w:val="20"/>
              </w:rPr>
            </w:pPr>
          </w:p>
        </w:tc>
        <w:tc>
          <w:tcPr>
            <w:tcW w:w="1620" w:type="dxa"/>
          </w:tcPr>
          <w:p w14:paraId="499CE05B" w14:textId="77777777" w:rsidR="005C4629" w:rsidRDefault="005C4629" w:rsidP="00257E21">
            <w:pPr>
              <w:rPr>
                <w:sz w:val="20"/>
                <w:szCs w:val="20"/>
              </w:rPr>
            </w:pPr>
            <w:r>
              <w:rPr>
                <w:sz w:val="20"/>
                <w:szCs w:val="20"/>
              </w:rPr>
              <w:t>Request through registration via CTSI Portal.</w:t>
            </w:r>
          </w:p>
          <w:p w14:paraId="2257EF55" w14:textId="77777777" w:rsidR="005C4629" w:rsidRDefault="005C4629" w:rsidP="00257E21">
            <w:pPr>
              <w:rPr>
                <w:sz w:val="20"/>
                <w:szCs w:val="20"/>
              </w:rPr>
            </w:pPr>
          </w:p>
          <w:p w14:paraId="72C935EC" w14:textId="1553BFE3" w:rsidR="005C4629" w:rsidRDefault="005C4629" w:rsidP="00257E21">
            <w:pPr>
              <w:rPr>
                <w:sz w:val="20"/>
                <w:szCs w:val="20"/>
              </w:rPr>
            </w:pPr>
            <w:r>
              <w:rPr>
                <w:color w:val="FF0000"/>
                <w:sz w:val="20"/>
                <w:szCs w:val="20"/>
              </w:rPr>
              <w:t>Gillette excluded</w:t>
            </w:r>
          </w:p>
        </w:tc>
        <w:tc>
          <w:tcPr>
            <w:tcW w:w="2155" w:type="dxa"/>
          </w:tcPr>
          <w:p w14:paraId="2C26840A" w14:textId="702A8C8F" w:rsidR="005C4629" w:rsidRDefault="005C4629" w:rsidP="00257E21">
            <w:pPr>
              <w:rPr>
                <w:sz w:val="20"/>
                <w:szCs w:val="20"/>
              </w:rPr>
            </w:pPr>
            <w:r>
              <w:rPr>
                <w:sz w:val="20"/>
                <w:szCs w:val="20"/>
              </w:rPr>
              <w:t xml:space="preserve">Must be completed prior to final IRB approval is granted. </w:t>
            </w:r>
          </w:p>
        </w:tc>
      </w:tr>
      <w:tr w:rsidR="00257E21" w14:paraId="50019CFE" w14:textId="77777777" w:rsidTr="005727E3">
        <w:trPr>
          <w:cantSplit/>
        </w:trPr>
        <w:tc>
          <w:tcPr>
            <w:tcW w:w="1615" w:type="dxa"/>
          </w:tcPr>
          <w:p w14:paraId="5A6CB131" w14:textId="43851CF2" w:rsidR="005C4629" w:rsidRPr="00627DB4" w:rsidRDefault="00A31BFA" w:rsidP="00257E21">
            <w:hyperlink r:id="rId32">
              <w:r w:rsidR="005C4629" w:rsidRPr="00627DB4">
                <w:rPr>
                  <w:color w:val="0432FF"/>
                  <w:u w:val="single"/>
                </w:rPr>
                <w:t>Center for Magnetic Resonance Research (CMRR) Safety Committee</w:t>
              </w:r>
            </w:hyperlink>
          </w:p>
        </w:tc>
        <w:tc>
          <w:tcPr>
            <w:tcW w:w="1620" w:type="dxa"/>
          </w:tcPr>
          <w:p w14:paraId="16D67A26" w14:textId="64B43838" w:rsidR="005C4629" w:rsidRDefault="005C4629" w:rsidP="00257E21">
            <w:pPr>
              <w:rPr>
                <w:sz w:val="20"/>
                <w:szCs w:val="20"/>
              </w:rPr>
            </w:pPr>
            <w:r>
              <w:rPr>
                <w:sz w:val="20"/>
                <w:szCs w:val="20"/>
              </w:rPr>
              <w:t>CMRR Safety Approval</w:t>
            </w:r>
          </w:p>
        </w:tc>
        <w:tc>
          <w:tcPr>
            <w:tcW w:w="2790" w:type="dxa"/>
          </w:tcPr>
          <w:p w14:paraId="3D18B303" w14:textId="70DDA10B" w:rsidR="005C4629" w:rsidRDefault="005C4629" w:rsidP="00257E21">
            <w:pPr>
              <w:rPr>
                <w:sz w:val="20"/>
                <w:szCs w:val="20"/>
              </w:rPr>
            </w:pPr>
            <w:r>
              <w:rPr>
                <w:sz w:val="20"/>
                <w:szCs w:val="20"/>
              </w:rPr>
              <w:t xml:space="preserve">CMRR selected on </w:t>
            </w:r>
            <w:proofErr w:type="gramStart"/>
            <w:r>
              <w:rPr>
                <w:sz w:val="20"/>
                <w:szCs w:val="20"/>
              </w:rPr>
              <w:t>the  Sites</w:t>
            </w:r>
            <w:proofErr w:type="gramEnd"/>
            <w:r>
              <w:rPr>
                <w:sz w:val="20"/>
                <w:szCs w:val="20"/>
              </w:rPr>
              <w:t xml:space="preserve"> and Resources page, including the MR scanner at MiDB</w:t>
            </w:r>
          </w:p>
        </w:tc>
        <w:tc>
          <w:tcPr>
            <w:tcW w:w="2520" w:type="dxa"/>
          </w:tcPr>
          <w:p w14:paraId="017827FF" w14:textId="77777777" w:rsidR="005C4629" w:rsidRDefault="005C4629" w:rsidP="00257E21">
            <w:pPr>
              <w:numPr>
                <w:ilvl w:val="0"/>
                <w:numId w:val="22"/>
              </w:numPr>
              <w:pBdr>
                <w:top w:val="nil"/>
                <w:left w:val="nil"/>
                <w:bottom w:val="nil"/>
                <w:right w:val="nil"/>
                <w:between w:val="nil"/>
              </w:pBdr>
              <w:ind w:left="275" w:hanging="275"/>
              <w:rPr>
                <w:color w:val="000000"/>
                <w:sz w:val="20"/>
                <w:szCs w:val="20"/>
              </w:rPr>
            </w:pPr>
            <w:r>
              <w:rPr>
                <w:color w:val="000000"/>
                <w:sz w:val="20"/>
                <w:szCs w:val="20"/>
              </w:rPr>
              <w:t xml:space="preserve">Initial Review </w:t>
            </w:r>
          </w:p>
          <w:p w14:paraId="77983E32" w14:textId="0869B2A8" w:rsidR="005C4629" w:rsidRDefault="005727E3" w:rsidP="00257E21">
            <w:pPr>
              <w:numPr>
                <w:ilvl w:val="0"/>
                <w:numId w:val="16"/>
              </w:numPr>
              <w:pBdr>
                <w:top w:val="nil"/>
                <w:left w:val="nil"/>
                <w:bottom w:val="nil"/>
                <w:right w:val="nil"/>
                <w:between w:val="nil"/>
              </w:pBdr>
              <w:ind w:left="211" w:hanging="211"/>
              <w:rPr>
                <w:color w:val="000000"/>
                <w:sz w:val="20"/>
                <w:szCs w:val="20"/>
              </w:rPr>
            </w:pPr>
            <w:r>
              <w:rPr>
                <w:color w:val="000000"/>
                <w:sz w:val="20"/>
                <w:szCs w:val="20"/>
              </w:rPr>
              <w:t xml:space="preserve"> </w:t>
            </w:r>
            <w:r w:rsidR="005C4629">
              <w:rPr>
                <w:color w:val="000000"/>
                <w:sz w:val="20"/>
                <w:szCs w:val="20"/>
              </w:rPr>
              <w:t>Modifications which add CMRR</w:t>
            </w:r>
          </w:p>
        </w:tc>
        <w:tc>
          <w:tcPr>
            <w:tcW w:w="2070" w:type="dxa"/>
          </w:tcPr>
          <w:p w14:paraId="02CF2FCC" w14:textId="77777777" w:rsidR="005C4629" w:rsidRDefault="005C4629" w:rsidP="00257E21">
            <w:pPr>
              <w:rPr>
                <w:sz w:val="20"/>
                <w:szCs w:val="20"/>
              </w:rPr>
            </w:pPr>
            <w:r>
              <w:rPr>
                <w:sz w:val="20"/>
                <w:szCs w:val="20"/>
              </w:rPr>
              <w:t>Jeramy Kulesa</w:t>
            </w:r>
          </w:p>
          <w:p w14:paraId="61694600" w14:textId="77777777" w:rsidR="005C4629" w:rsidRPr="001733B4" w:rsidRDefault="00A31BFA" w:rsidP="00257E21">
            <w:pPr>
              <w:rPr>
                <w:color w:val="0432FF"/>
                <w:sz w:val="20"/>
                <w:szCs w:val="20"/>
              </w:rPr>
            </w:pPr>
            <w:hyperlink r:id="rId33">
              <w:r w:rsidR="005C4629" w:rsidRPr="001733B4">
                <w:rPr>
                  <w:color w:val="0432FF"/>
                  <w:sz w:val="20"/>
                  <w:szCs w:val="20"/>
                  <w:u w:val="single"/>
                </w:rPr>
                <w:t>Ande2445@umn.edu</w:t>
              </w:r>
            </w:hyperlink>
          </w:p>
          <w:p w14:paraId="269708A4" w14:textId="1EAF643E" w:rsidR="005C4629" w:rsidRDefault="005C4629" w:rsidP="00257E21">
            <w:pPr>
              <w:rPr>
                <w:sz w:val="20"/>
                <w:szCs w:val="20"/>
              </w:rPr>
            </w:pPr>
            <w:r>
              <w:rPr>
                <w:sz w:val="20"/>
                <w:szCs w:val="20"/>
              </w:rPr>
              <w:t>612-625-8847</w:t>
            </w:r>
          </w:p>
        </w:tc>
        <w:tc>
          <w:tcPr>
            <w:tcW w:w="1620" w:type="dxa"/>
          </w:tcPr>
          <w:p w14:paraId="0B333474" w14:textId="49A55AC4" w:rsidR="005C4629" w:rsidRDefault="005C4629" w:rsidP="00257E21">
            <w:pPr>
              <w:rPr>
                <w:sz w:val="20"/>
                <w:szCs w:val="20"/>
              </w:rPr>
            </w:pPr>
            <w:r w:rsidRPr="003A65B1">
              <w:rPr>
                <w:sz w:val="20"/>
                <w:szCs w:val="20"/>
                <w:lang w:val="fr-FR"/>
              </w:rPr>
              <w:t xml:space="preserve">Application </w:t>
            </w:r>
            <w:r>
              <w:rPr>
                <w:sz w:val="20"/>
                <w:szCs w:val="20"/>
                <w:lang w:val="fr-FR"/>
              </w:rPr>
              <w:t>available</w:t>
            </w:r>
            <w:r w:rsidRPr="003A65B1">
              <w:rPr>
                <w:sz w:val="20"/>
                <w:szCs w:val="20"/>
                <w:lang w:val="fr-FR"/>
              </w:rPr>
              <w:t xml:space="preserve"> </w:t>
            </w:r>
            <w:hyperlink r:id="rId34">
              <w:r w:rsidRPr="001733B4">
                <w:rPr>
                  <w:color w:val="0432FF"/>
                  <w:sz w:val="20"/>
                  <w:szCs w:val="20"/>
                  <w:u w:val="single"/>
                  <w:lang w:val="fr-FR"/>
                </w:rPr>
                <w:t>https://www.cmrr.umn.edu/preirb/</w:t>
              </w:r>
            </w:hyperlink>
          </w:p>
        </w:tc>
        <w:tc>
          <w:tcPr>
            <w:tcW w:w="2155" w:type="dxa"/>
          </w:tcPr>
          <w:p w14:paraId="466FF472" w14:textId="6797EC8A" w:rsidR="005C4629" w:rsidRDefault="005C4629" w:rsidP="00257E21">
            <w:pPr>
              <w:rPr>
                <w:sz w:val="20"/>
                <w:szCs w:val="20"/>
              </w:rPr>
            </w:pPr>
            <w:r>
              <w:rPr>
                <w:sz w:val="20"/>
                <w:szCs w:val="20"/>
              </w:rPr>
              <w:t xml:space="preserve">Must be completed prior to final IRB approval is granted. </w:t>
            </w:r>
          </w:p>
        </w:tc>
      </w:tr>
      <w:tr w:rsidR="00257E21" w14:paraId="70604CF6" w14:textId="77777777" w:rsidTr="005727E3">
        <w:trPr>
          <w:cantSplit/>
          <w:trHeight w:val="3020"/>
        </w:trPr>
        <w:tc>
          <w:tcPr>
            <w:tcW w:w="1615" w:type="dxa"/>
          </w:tcPr>
          <w:p w14:paraId="105178B5" w14:textId="5413D047" w:rsidR="005C4629" w:rsidRPr="00627DB4" w:rsidRDefault="005C4629" w:rsidP="00257E21">
            <w:r w:rsidRPr="00627DB4">
              <w:t xml:space="preserve">Clinicaltrials.gov </w:t>
            </w:r>
          </w:p>
        </w:tc>
        <w:tc>
          <w:tcPr>
            <w:tcW w:w="1620" w:type="dxa"/>
          </w:tcPr>
          <w:p w14:paraId="209078CB" w14:textId="172A1E92" w:rsidR="005C4629" w:rsidRDefault="005C4629" w:rsidP="00257E21">
            <w:pPr>
              <w:rPr>
                <w:sz w:val="20"/>
                <w:szCs w:val="20"/>
              </w:rPr>
            </w:pPr>
            <w:r>
              <w:rPr>
                <w:sz w:val="20"/>
                <w:szCs w:val="20"/>
              </w:rPr>
              <w:t>Clinicaltrials.gov compliance</w:t>
            </w:r>
          </w:p>
        </w:tc>
        <w:tc>
          <w:tcPr>
            <w:tcW w:w="2790" w:type="dxa"/>
          </w:tcPr>
          <w:p w14:paraId="45E38B4C" w14:textId="77777777" w:rsidR="005C4629" w:rsidRDefault="005C4629" w:rsidP="00257E21">
            <w:pPr>
              <w:rPr>
                <w:sz w:val="20"/>
                <w:szCs w:val="20"/>
              </w:rPr>
            </w:pPr>
            <w:r>
              <w:rPr>
                <w:sz w:val="20"/>
                <w:szCs w:val="20"/>
              </w:rPr>
              <w:t xml:space="preserve">If response to question 4 on study scope page, Does your study need to be registered at ClinicalTrials.gov" is “NO” </w:t>
            </w:r>
          </w:p>
          <w:p w14:paraId="4563CEA8" w14:textId="77777777" w:rsidR="005C4629" w:rsidRDefault="005C4629" w:rsidP="00257E21">
            <w:pPr>
              <w:rPr>
                <w:sz w:val="20"/>
                <w:szCs w:val="20"/>
              </w:rPr>
            </w:pPr>
          </w:p>
          <w:p w14:paraId="6176D0B2" w14:textId="20FBDA06" w:rsidR="005C4629" w:rsidRDefault="005C4629" w:rsidP="00257E21">
            <w:pPr>
              <w:rPr>
                <w:sz w:val="20"/>
                <w:szCs w:val="20"/>
              </w:rPr>
            </w:pPr>
            <w:r w:rsidRPr="006262F1">
              <w:rPr>
                <w:color w:val="FF0000"/>
              </w:rPr>
              <w:t xml:space="preserve">Data/Specimen only protocols </w:t>
            </w:r>
            <w:r>
              <w:rPr>
                <w:color w:val="FF0000"/>
              </w:rPr>
              <w:t xml:space="preserve">do not require this </w:t>
            </w:r>
            <w:r w:rsidRPr="006262F1">
              <w:rPr>
                <w:color w:val="FF0000"/>
              </w:rPr>
              <w:t>review.</w:t>
            </w:r>
          </w:p>
        </w:tc>
        <w:tc>
          <w:tcPr>
            <w:tcW w:w="2520" w:type="dxa"/>
          </w:tcPr>
          <w:p w14:paraId="26312B69" w14:textId="015C9A0B" w:rsidR="005C4629" w:rsidRPr="005727E3" w:rsidRDefault="005C4629" w:rsidP="005727E3">
            <w:pPr>
              <w:numPr>
                <w:ilvl w:val="0"/>
                <w:numId w:val="19"/>
              </w:numPr>
              <w:rPr>
                <w:sz w:val="20"/>
                <w:szCs w:val="20"/>
              </w:rPr>
            </w:pPr>
            <w:r>
              <w:rPr>
                <w:sz w:val="20"/>
                <w:szCs w:val="20"/>
              </w:rPr>
              <w:t>Initial Review</w:t>
            </w:r>
          </w:p>
        </w:tc>
        <w:tc>
          <w:tcPr>
            <w:tcW w:w="2070" w:type="dxa"/>
          </w:tcPr>
          <w:p w14:paraId="421FDC53" w14:textId="77777777" w:rsidR="005C4629" w:rsidRDefault="005C4629" w:rsidP="00257E21">
            <w:pPr>
              <w:rPr>
                <w:sz w:val="20"/>
                <w:szCs w:val="20"/>
              </w:rPr>
            </w:pPr>
            <w:r>
              <w:rPr>
                <w:sz w:val="20"/>
                <w:szCs w:val="20"/>
              </w:rPr>
              <w:t>Sydney Viel</w:t>
            </w:r>
          </w:p>
          <w:p w14:paraId="5B5441AE" w14:textId="77777777" w:rsidR="005C4629" w:rsidRPr="001733B4" w:rsidRDefault="00A31BFA" w:rsidP="00257E21">
            <w:pPr>
              <w:rPr>
                <w:color w:val="0432FF"/>
                <w:sz w:val="20"/>
                <w:szCs w:val="20"/>
              </w:rPr>
            </w:pPr>
            <w:hyperlink r:id="rId35" w:history="1">
              <w:r w:rsidR="005C4629" w:rsidRPr="001733B4">
                <w:rPr>
                  <w:rStyle w:val="Hyperlink"/>
                  <w:color w:val="0432FF"/>
                  <w:sz w:val="20"/>
                  <w:szCs w:val="20"/>
                </w:rPr>
                <w:t>fencl003@umn.edu</w:t>
              </w:r>
            </w:hyperlink>
          </w:p>
          <w:p w14:paraId="475B2074" w14:textId="77777777" w:rsidR="005C4629" w:rsidRDefault="005C4629" w:rsidP="00257E21">
            <w:pPr>
              <w:rPr>
                <w:sz w:val="20"/>
                <w:szCs w:val="20"/>
              </w:rPr>
            </w:pPr>
          </w:p>
        </w:tc>
        <w:tc>
          <w:tcPr>
            <w:tcW w:w="1620" w:type="dxa"/>
          </w:tcPr>
          <w:sdt>
            <w:sdtPr>
              <w:tag w:val="goog_rdk_9"/>
              <w:id w:val="923149938"/>
            </w:sdtPr>
            <w:sdtEndPr/>
            <w:sdtContent>
              <w:p w14:paraId="4A688EC5" w14:textId="77777777" w:rsidR="005C4629" w:rsidRDefault="005C4629" w:rsidP="00257E21">
                <w:pPr>
                  <w:rPr>
                    <w:sz w:val="20"/>
                    <w:szCs w:val="20"/>
                  </w:rPr>
                </w:pPr>
                <w:r>
                  <w:rPr>
                    <w:sz w:val="20"/>
                    <w:szCs w:val="20"/>
                  </w:rPr>
                  <w:t>Through assignment of ancillary review via ETHOS</w:t>
                </w:r>
                <w:sdt>
                  <w:sdtPr>
                    <w:tag w:val="goog_rdk_8"/>
                    <w:id w:val="383605463"/>
                  </w:sdtPr>
                  <w:sdtEndPr/>
                  <w:sdtContent/>
                </w:sdt>
              </w:p>
            </w:sdtContent>
          </w:sdt>
          <w:sdt>
            <w:sdtPr>
              <w:tag w:val="goog_rdk_11"/>
              <w:id w:val="-1174259431"/>
            </w:sdtPr>
            <w:sdtEndPr/>
            <w:sdtContent>
              <w:p w14:paraId="2839FE40" w14:textId="77777777" w:rsidR="005C4629" w:rsidRDefault="00A31BFA" w:rsidP="00257E21">
                <w:pPr>
                  <w:rPr>
                    <w:sz w:val="20"/>
                    <w:szCs w:val="20"/>
                  </w:rPr>
                </w:pPr>
                <w:sdt>
                  <w:sdtPr>
                    <w:tag w:val="goog_rdk_10"/>
                    <w:id w:val="752945196"/>
                  </w:sdtPr>
                  <w:sdtEndPr/>
                  <w:sdtContent/>
                </w:sdt>
              </w:p>
            </w:sdtContent>
          </w:sdt>
          <w:sdt>
            <w:sdtPr>
              <w:tag w:val="goog_rdk_13"/>
              <w:id w:val="-609659552"/>
            </w:sdtPr>
            <w:sdtEndPr/>
            <w:sdtContent>
              <w:p w14:paraId="53DB9931" w14:textId="77777777" w:rsidR="005C4629" w:rsidRDefault="00A31BFA" w:rsidP="00257E21">
                <w:pPr>
                  <w:rPr>
                    <w:sz w:val="20"/>
                    <w:szCs w:val="20"/>
                  </w:rPr>
                </w:pPr>
                <w:sdt>
                  <w:sdtPr>
                    <w:tag w:val="goog_rdk_12"/>
                    <w:id w:val="-670958426"/>
                  </w:sdtPr>
                  <w:sdtEndPr/>
                  <w:sdtContent/>
                </w:sdt>
              </w:p>
            </w:sdtContent>
          </w:sdt>
          <w:sdt>
            <w:sdtPr>
              <w:tag w:val="goog_rdk_15"/>
              <w:id w:val="-2003421465"/>
            </w:sdtPr>
            <w:sdtEndPr/>
            <w:sdtContent>
              <w:p w14:paraId="2A90D2A1" w14:textId="77777777" w:rsidR="005C4629" w:rsidRDefault="00A31BFA" w:rsidP="00257E21">
                <w:pPr>
                  <w:rPr>
                    <w:sz w:val="20"/>
                    <w:szCs w:val="20"/>
                  </w:rPr>
                </w:pPr>
                <w:sdt>
                  <w:sdtPr>
                    <w:tag w:val="goog_rdk_14"/>
                    <w:id w:val="-1879158696"/>
                  </w:sdtPr>
                  <w:sdtEndPr/>
                  <w:sdtContent/>
                </w:sdt>
              </w:p>
            </w:sdtContent>
          </w:sdt>
          <w:p w14:paraId="0DF8DCA8" w14:textId="77777777" w:rsidR="005C4629" w:rsidRDefault="005C4629" w:rsidP="00257E21">
            <w:pPr>
              <w:rPr>
                <w:sz w:val="20"/>
                <w:szCs w:val="20"/>
              </w:rPr>
            </w:pPr>
          </w:p>
        </w:tc>
        <w:tc>
          <w:tcPr>
            <w:tcW w:w="2155" w:type="dxa"/>
          </w:tcPr>
          <w:p w14:paraId="10ED3E90" w14:textId="77777777" w:rsidR="005C4629" w:rsidRDefault="005C4629" w:rsidP="00257E21">
            <w:pPr>
              <w:rPr>
                <w:sz w:val="20"/>
                <w:szCs w:val="20"/>
              </w:rPr>
            </w:pPr>
            <w:r>
              <w:rPr>
                <w:sz w:val="20"/>
                <w:szCs w:val="20"/>
              </w:rPr>
              <w:t>Must be completed prior to final IRB approval is granted.</w:t>
            </w:r>
          </w:p>
          <w:p w14:paraId="1F35DCB2" w14:textId="7885C624" w:rsidR="005C4629" w:rsidRDefault="005C4629" w:rsidP="00257E21">
            <w:pPr>
              <w:rPr>
                <w:sz w:val="20"/>
                <w:szCs w:val="20"/>
              </w:rPr>
            </w:pPr>
            <w:r>
              <w:rPr>
                <w:sz w:val="20"/>
                <w:szCs w:val="20"/>
              </w:rPr>
              <w:t>Note: For initial study submissions, ancillary review is to be completed prior to final IRB approval, not the CT.GOV# registration.</w:t>
            </w:r>
          </w:p>
        </w:tc>
      </w:tr>
      <w:tr w:rsidR="00257E21" w14:paraId="79173E1A" w14:textId="77777777" w:rsidTr="005727E3">
        <w:trPr>
          <w:cantSplit/>
        </w:trPr>
        <w:tc>
          <w:tcPr>
            <w:tcW w:w="1615" w:type="dxa"/>
          </w:tcPr>
          <w:p w14:paraId="1EA7905F" w14:textId="19ACA5BF" w:rsidR="005C4629" w:rsidRPr="00627DB4" w:rsidRDefault="00A31BFA" w:rsidP="00257E21">
            <w:pPr>
              <w:rPr>
                <w:rFonts w:cstheme="minorHAnsi"/>
              </w:rPr>
            </w:pPr>
            <w:hyperlink r:id="rId36">
              <w:r w:rsidR="005C4629" w:rsidRPr="00627DB4">
                <w:rPr>
                  <w:rFonts w:cstheme="minorHAnsi"/>
                  <w:color w:val="0000FF"/>
                  <w:u w:val="single"/>
                </w:rPr>
                <w:t>HRPP Education and Training</w:t>
              </w:r>
            </w:hyperlink>
          </w:p>
        </w:tc>
        <w:tc>
          <w:tcPr>
            <w:tcW w:w="1620" w:type="dxa"/>
          </w:tcPr>
          <w:p w14:paraId="1D5A527F" w14:textId="0F5F57A6" w:rsidR="005C4629" w:rsidRDefault="005C4629" w:rsidP="00257E21">
            <w:pPr>
              <w:rPr>
                <w:sz w:val="20"/>
                <w:szCs w:val="20"/>
              </w:rPr>
            </w:pPr>
            <w:r>
              <w:rPr>
                <w:sz w:val="20"/>
                <w:szCs w:val="20"/>
              </w:rPr>
              <w:t>Other</w:t>
            </w:r>
          </w:p>
        </w:tc>
        <w:tc>
          <w:tcPr>
            <w:tcW w:w="2790" w:type="dxa"/>
          </w:tcPr>
          <w:p w14:paraId="2D1B9EA4" w14:textId="57B224D0" w:rsidR="005C4629" w:rsidRDefault="005C4629" w:rsidP="00257E21">
            <w:pPr>
              <w:rPr>
                <w:sz w:val="20"/>
                <w:szCs w:val="20"/>
              </w:rPr>
            </w:pPr>
            <w:r>
              <w:rPr>
                <w:sz w:val="20"/>
                <w:szCs w:val="20"/>
              </w:rPr>
              <w:t>There are questions regarding training completions or consult request for CAPA education opportunities</w:t>
            </w:r>
          </w:p>
        </w:tc>
        <w:tc>
          <w:tcPr>
            <w:tcW w:w="2520" w:type="dxa"/>
          </w:tcPr>
          <w:p w14:paraId="683B3187" w14:textId="77777777" w:rsidR="005C4629" w:rsidRDefault="005C4629" w:rsidP="00257E21">
            <w:pPr>
              <w:numPr>
                <w:ilvl w:val="0"/>
                <w:numId w:val="23"/>
              </w:numPr>
              <w:pBdr>
                <w:top w:val="nil"/>
                <w:left w:val="nil"/>
                <w:bottom w:val="nil"/>
                <w:right w:val="nil"/>
                <w:between w:val="nil"/>
              </w:pBdr>
              <w:ind w:left="251" w:hanging="270"/>
              <w:rPr>
                <w:color w:val="000000"/>
                <w:sz w:val="20"/>
                <w:szCs w:val="20"/>
              </w:rPr>
            </w:pPr>
            <w:r>
              <w:rPr>
                <w:color w:val="000000"/>
                <w:sz w:val="20"/>
                <w:szCs w:val="20"/>
              </w:rPr>
              <w:t>Initial Review</w:t>
            </w:r>
          </w:p>
          <w:p w14:paraId="41E7EC72" w14:textId="77777777" w:rsidR="005C4629" w:rsidRDefault="005C4629" w:rsidP="00257E21">
            <w:pPr>
              <w:numPr>
                <w:ilvl w:val="0"/>
                <w:numId w:val="23"/>
              </w:numPr>
              <w:pBdr>
                <w:top w:val="nil"/>
                <w:left w:val="nil"/>
                <w:bottom w:val="nil"/>
                <w:right w:val="nil"/>
                <w:between w:val="nil"/>
              </w:pBdr>
              <w:ind w:left="251" w:hanging="270"/>
              <w:rPr>
                <w:color w:val="000000"/>
                <w:sz w:val="20"/>
                <w:szCs w:val="20"/>
              </w:rPr>
            </w:pPr>
            <w:r>
              <w:rPr>
                <w:color w:val="000000"/>
                <w:sz w:val="20"/>
                <w:szCs w:val="20"/>
              </w:rPr>
              <w:t>Modifications</w:t>
            </w:r>
          </w:p>
          <w:p w14:paraId="17A1BE84" w14:textId="662A8629" w:rsidR="005C4629" w:rsidRDefault="005727E3" w:rsidP="00257E21">
            <w:pPr>
              <w:numPr>
                <w:ilvl w:val="0"/>
                <w:numId w:val="16"/>
              </w:numPr>
              <w:pBdr>
                <w:top w:val="nil"/>
                <w:left w:val="nil"/>
                <w:bottom w:val="nil"/>
                <w:right w:val="nil"/>
                <w:between w:val="nil"/>
              </w:pBdr>
              <w:ind w:left="211" w:hanging="211"/>
              <w:rPr>
                <w:color w:val="000000"/>
                <w:sz w:val="20"/>
                <w:szCs w:val="20"/>
              </w:rPr>
            </w:pPr>
            <w:r>
              <w:rPr>
                <w:color w:val="000000"/>
                <w:sz w:val="20"/>
                <w:szCs w:val="20"/>
              </w:rPr>
              <w:t xml:space="preserve"> </w:t>
            </w:r>
            <w:r w:rsidR="005C4629">
              <w:rPr>
                <w:color w:val="000000"/>
                <w:sz w:val="20"/>
                <w:szCs w:val="20"/>
              </w:rPr>
              <w:t>Continuing Review</w:t>
            </w:r>
          </w:p>
        </w:tc>
        <w:tc>
          <w:tcPr>
            <w:tcW w:w="2070" w:type="dxa"/>
          </w:tcPr>
          <w:p w14:paraId="750F13E6" w14:textId="77777777" w:rsidR="005C4629" w:rsidRDefault="005C4629" w:rsidP="00257E21">
            <w:pPr>
              <w:rPr>
                <w:sz w:val="20"/>
                <w:szCs w:val="20"/>
              </w:rPr>
            </w:pPr>
            <w:r>
              <w:rPr>
                <w:sz w:val="20"/>
                <w:szCs w:val="20"/>
              </w:rPr>
              <w:t>Courtney Jarboe</w:t>
            </w:r>
          </w:p>
          <w:p w14:paraId="5E7B61C1" w14:textId="77777777" w:rsidR="005C4629" w:rsidRPr="001733B4" w:rsidRDefault="00A31BFA" w:rsidP="00257E21">
            <w:pPr>
              <w:rPr>
                <w:color w:val="0432FF"/>
                <w:sz w:val="20"/>
                <w:szCs w:val="20"/>
              </w:rPr>
            </w:pPr>
            <w:hyperlink r:id="rId37">
              <w:r w:rsidR="005C4629" w:rsidRPr="001733B4">
                <w:rPr>
                  <w:color w:val="0432FF"/>
                  <w:sz w:val="20"/>
                  <w:szCs w:val="20"/>
                  <w:u w:val="single"/>
                </w:rPr>
                <w:t>cjarboe@umn.edu</w:t>
              </w:r>
            </w:hyperlink>
          </w:p>
          <w:p w14:paraId="331685A0" w14:textId="3E62050D" w:rsidR="005C4629" w:rsidRDefault="005C4629" w:rsidP="00257E21">
            <w:pPr>
              <w:rPr>
                <w:sz w:val="20"/>
                <w:szCs w:val="20"/>
              </w:rPr>
            </w:pPr>
            <w:r>
              <w:rPr>
                <w:sz w:val="20"/>
                <w:szCs w:val="20"/>
              </w:rPr>
              <w:t>612-626-5141</w:t>
            </w:r>
          </w:p>
        </w:tc>
        <w:tc>
          <w:tcPr>
            <w:tcW w:w="1620" w:type="dxa"/>
          </w:tcPr>
          <w:p w14:paraId="02112365" w14:textId="516898B1" w:rsidR="005C4629" w:rsidRDefault="005C4629" w:rsidP="00257E21">
            <w:pPr>
              <w:rPr>
                <w:sz w:val="20"/>
                <w:szCs w:val="20"/>
              </w:rPr>
            </w:pPr>
            <w:r>
              <w:rPr>
                <w:sz w:val="20"/>
                <w:szCs w:val="20"/>
              </w:rPr>
              <w:t xml:space="preserve">Contact </w:t>
            </w:r>
            <w:hyperlink r:id="rId38">
              <w:r w:rsidRPr="001733B4">
                <w:rPr>
                  <w:color w:val="0432FF"/>
                  <w:sz w:val="20"/>
                  <w:szCs w:val="20"/>
                  <w:u w:val="single"/>
                </w:rPr>
                <w:t>Courtney Jarboe</w:t>
              </w:r>
            </w:hyperlink>
            <w:r>
              <w:rPr>
                <w:sz w:val="20"/>
                <w:szCs w:val="20"/>
              </w:rPr>
              <w:t xml:space="preserve"> if there are questions about IRB training requirements.</w:t>
            </w:r>
          </w:p>
        </w:tc>
        <w:tc>
          <w:tcPr>
            <w:tcW w:w="2155" w:type="dxa"/>
          </w:tcPr>
          <w:p w14:paraId="66878C1E" w14:textId="34B69764" w:rsidR="005C4629" w:rsidRDefault="005C4629" w:rsidP="00257E21">
            <w:pPr>
              <w:rPr>
                <w:sz w:val="20"/>
                <w:szCs w:val="20"/>
              </w:rPr>
            </w:pPr>
            <w:r>
              <w:rPr>
                <w:sz w:val="20"/>
                <w:szCs w:val="20"/>
              </w:rPr>
              <w:t>Must be completed prior to final IRB approval is granted.</w:t>
            </w:r>
          </w:p>
        </w:tc>
      </w:tr>
      <w:tr w:rsidR="00257E21" w14:paraId="27664CB1" w14:textId="77777777" w:rsidTr="005727E3">
        <w:trPr>
          <w:cantSplit/>
        </w:trPr>
        <w:tc>
          <w:tcPr>
            <w:tcW w:w="1615" w:type="dxa"/>
          </w:tcPr>
          <w:p w14:paraId="643D7745" w14:textId="13C79F35" w:rsidR="005C4629" w:rsidRPr="00627DB4" w:rsidRDefault="00A31BFA" w:rsidP="00257E21">
            <w:hyperlink r:id="rId39">
              <w:r w:rsidR="005C4629" w:rsidRPr="00627DB4">
                <w:rPr>
                  <w:color w:val="0432FF"/>
                  <w:u w:val="single"/>
                </w:rPr>
                <w:t>Health Information and Privacy Compliance Office (HIPCO)</w:t>
              </w:r>
            </w:hyperlink>
          </w:p>
        </w:tc>
        <w:tc>
          <w:tcPr>
            <w:tcW w:w="1620" w:type="dxa"/>
          </w:tcPr>
          <w:p w14:paraId="6C337643" w14:textId="77777777" w:rsidR="005C4629" w:rsidRDefault="005C4629" w:rsidP="00257E21">
            <w:pPr>
              <w:rPr>
                <w:sz w:val="20"/>
                <w:szCs w:val="20"/>
              </w:rPr>
            </w:pPr>
            <w:r>
              <w:rPr>
                <w:sz w:val="20"/>
                <w:szCs w:val="20"/>
              </w:rPr>
              <w:t>HIPAA compliance</w:t>
            </w:r>
          </w:p>
          <w:p w14:paraId="0D4CE985" w14:textId="77777777" w:rsidR="005C4629" w:rsidRDefault="005C4629" w:rsidP="00257E21">
            <w:pPr>
              <w:rPr>
                <w:sz w:val="20"/>
                <w:szCs w:val="20"/>
              </w:rPr>
            </w:pPr>
            <w:r>
              <w:rPr>
                <w:sz w:val="20"/>
                <w:szCs w:val="20"/>
              </w:rPr>
              <w:t>HIPAA training compliance</w:t>
            </w:r>
          </w:p>
          <w:p w14:paraId="25158874" w14:textId="5AA74C7C" w:rsidR="005C4629" w:rsidRDefault="005C4629" w:rsidP="00257E21">
            <w:pPr>
              <w:rPr>
                <w:sz w:val="20"/>
                <w:szCs w:val="20"/>
              </w:rPr>
            </w:pPr>
            <w:r>
              <w:rPr>
                <w:sz w:val="20"/>
                <w:szCs w:val="20"/>
              </w:rPr>
              <w:t>Privacy law applicability (international and domestic) in the collection, transmission, and storage of health data.</w:t>
            </w:r>
          </w:p>
        </w:tc>
        <w:tc>
          <w:tcPr>
            <w:tcW w:w="2790" w:type="dxa"/>
          </w:tcPr>
          <w:p w14:paraId="4620A3AE" w14:textId="5F2E2196" w:rsidR="005C4629" w:rsidRDefault="005C4629" w:rsidP="00257E21">
            <w:pPr>
              <w:rPr>
                <w:sz w:val="20"/>
                <w:szCs w:val="20"/>
              </w:rPr>
            </w:pPr>
            <w:r>
              <w:rPr>
                <w:sz w:val="20"/>
                <w:szCs w:val="20"/>
              </w:rPr>
              <w:t>Study includes use of Individually Identifiable Health Information (Not just PHI as defined by HIPAA)</w:t>
            </w:r>
          </w:p>
        </w:tc>
        <w:tc>
          <w:tcPr>
            <w:tcW w:w="2520" w:type="dxa"/>
          </w:tcPr>
          <w:p w14:paraId="07CB70F4" w14:textId="77777777" w:rsidR="005C4629" w:rsidRDefault="005C4629" w:rsidP="00257E21">
            <w:pPr>
              <w:numPr>
                <w:ilvl w:val="0"/>
                <w:numId w:val="24"/>
              </w:numPr>
              <w:pBdr>
                <w:top w:val="nil"/>
                <w:left w:val="nil"/>
                <w:bottom w:val="nil"/>
                <w:right w:val="nil"/>
                <w:between w:val="nil"/>
              </w:pBdr>
              <w:ind w:left="251" w:hanging="270"/>
              <w:rPr>
                <w:color w:val="000000"/>
                <w:sz w:val="20"/>
                <w:szCs w:val="20"/>
              </w:rPr>
            </w:pPr>
            <w:r>
              <w:rPr>
                <w:color w:val="000000"/>
                <w:sz w:val="20"/>
                <w:szCs w:val="20"/>
              </w:rPr>
              <w:t>Initial Review</w:t>
            </w:r>
          </w:p>
          <w:p w14:paraId="22B904FA" w14:textId="77777777" w:rsidR="005C4629" w:rsidRDefault="005C4629" w:rsidP="00257E21">
            <w:pPr>
              <w:numPr>
                <w:ilvl w:val="0"/>
                <w:numId w:val="24"/>
              </w:numPr>
              <w:pBdr>
                <w:top w:val="nil"/>
                <w:left w:val="nil"/>
                <w:bottom w:val="nil"/>
                <w:right w:val="nil"/>
                <w:between w:val="nil"/>
              </w:pBdr>
              <w:ind w:left="251" w:hanging="270"/>
              <w:rPr>
                <w:color w:val="000000"/>
                <w:sz w:val="20"/>
                <w:szCs w:val="20"/>
              </w:rPr>
            </w:pPr>
            <w:r>
              <w:rPr>
                <w:color w:val="000000"/>
                <w:sz w:val="20"/>
                <w:szCs w:val="20"/>
              </w:rPr>
              <w:t xml:space="preserve">Modifications when there are changes to data collection, transmission or </w:t>
            </w:r>
            <w:proofErr w:type="gramStart"/>
            <w:r>
              <w:rPr>
                <w:color w:val="000000"/>
                <w:sz w:val="20"/>
                <w:szCs w:val="20"/>
              </w:rPr>
              <w:t>storage</w:t>
            </w:r>
            <w:proofErr w:type="gramEnd"/>
          </w:p>
          <w:p w14:paraId="139C46C5" w14:textId="2F00B779" w:rsidR="005C4629" w:rsidRDefault="005C4629" w:rsidP="00257E21">
            <w:pPr>
              <w:numPr>
                <w:ilvl w:val="0"/>
                <w:numId w:val="23"/>
              </w:numPr>
              <w:pBdr>
                <w:top w:val="nil"/>
                <w:left w:val="nil"/>
                <w:bottom w:val="nil"/>
                <w:right w:val="nil"/>
                <w:between w:val="nil"/>
              </w:pBdr>
              <w:ind w:left="251" w:hanging="270"/>
              <w:rPr>
                <w:color w:val="000000"/>
                <w:sz w:val="20"/>
                <w:szCs w:val="20"/>
              </w:rPr>
            </w:pPr>
            <w:r>
              <w:rPr>
                <w:color w:val="000000"/>
                <w:sz w:val="20"/>
                <w:szCs w:val="20"/>
              </w:rPr>
              <w:t>Additions of personnel if training completion is not visible in ETHOS (HIPAA applicable studies only)</w:t>
            </w:r>
          </w:p>
        </w:tc>
        <w:tc>
          <w:tcPr>
            <w:tcW w:w="2070" w:type="dxa"/>
          </w:tcPr>
          <w:p w14:paraId="498B6FD4" w14:textId="77777777" w:rsidR="005C4629" w:rsidRDefault="005C4629" w:rsidP="00257E21">
            <w:pPr>
              <w:rPr>
                <w:sz w:val="20"/>
                <w:szCs w:val="20"/>
              </w:rPr>
            </w:pPr>
            <w:r>
              <w:rPr>
                <w:sz w:val="20"/>
                <w:szCs w:val="20"/>
              </w:rPr>
              <w:t>HIPCO</w:t>
            </w:r>
          </w:p>
          <w:p w14:paraId="054DEDD0" w14:textId="77777777" w:rsidR="005C4629" w:rsidRPr="001733B4" w:rsidRDefault="00A31BFA" w:rsidP="00257E21">
            <w:pPr>
              <w:rPr>
                <w:color w:val="0432FF"/>
                <w:sz w:val="20"/>
                <w:szCs w:val="20"/>
              </w:rPr>
            </w:pPr>
            <w:hyperlink r:id="rId40">
              <w:r w:rsidR="005C4629" w:rsidRPr="001733B4">
                <w:rPr>
                  <w:color w:val="0432FF"/>
                  <w:sz w:val="20"/>
                  <w:szCs w:val="20"/>
                  <w:u w:val="single"/>
                </w:rPr>
                <w:t>Privacy@umn.edu</w:t>
              </w:r>
            </w:hyperlink>
          </w:p>
          <w:p w14:paraId="569F4B6B" w14:textId="19A8F737" w:rsidR="005C4629" w:rsidRDefault="005C4629" w:rsidP="00257E21">
            <w:pPr>
              <w:rPr>
                <w:sz w:val="20"/>
                <w:szCs w:val="20"/>
              </w:rPr>
            </w:pPr>
            <w:r>
              <w:rPr>
                <w:sz w:val="20"/>
                <w:szCs w:val="20"/>
              </w:rPr>
              <w:t>612-624-7447</w:t>
            </w:r>
          </w:p>
        </w:tc>
        <w:tc>
          <w:tcPr>
            <w:tcW w:w="1620" w:type="dxa"/>
          </w:tcPr>
          <w:p w14:paraId="0220CABB" w14:textId="77777777" w:rsidR="005C4629" w:rsidRDefault="005C4629" w:rsidP="00257E21">
            <w:pPr>
              <w:rPr>
                <w:sz w:val="20"/>
                <w:szCs w:val="20"/>
              </w:rPr>
            </w:pPr>
            <w:r>
              <w:rPr>
                <w:sz w:val="20"/>
                <w:szCs w:val="20"/>
              </w:rPr>
              <w:t>Assigned automatically based on the protocol</w:t>
            </w:r>
          </w:p>
          <w:p w14:paraId="3F0E21EE" w14:textId="77777777" w:rsidR="005C4629" w:rsidRDefault="005C4629" w:rsidP="00257E21">
            <w:pPr>
              <w:rPr>
                <w:sz w:val="20"/>
                <w:szCs w:val="20"/>
              </w:rPr>
            </w:pPr>
          </w:p>
          <w:p w14:paraId="1C387192" w14:textId="77777777" w:rsidR="005C4629" w:rsidRPr="001733B4" w:rsidRDefault="00A31BFA" w:rsidP="00257E21">
            <w:pPr>
              <w:rPr>
                <w:color w:val="0432FF"/>
                <w:sz w:val="20"/>
                <w:szCs w:val="20"/>
                <w:u w:val="single"/>
              </w:rPr>
            </w:pPr>
            <w:hyperlink r:id="rId41">
              <w:r w:rsidR="005C4629" w:rsidRPr="001733B4">
                <w:rPr>
                  <w:color w:val="0432FF"/>
                  <w:sz w:val="20"/>
                  <w:szCs w:val="20"/>
                  <w:u w:val="single"/>
                </w:rPr>
                <w:t>Hybrid Entity Guidance</w:t>
              </w:r>
            </w:hyperlink>
          </w:p>
          <w:p w14:paraId="381D198B" w14:textId="3C69AACE" w:rsidR="005C4629" w:rsidRDefault="005C4629" w:rsidP="00257E21">
            <w:pPr>
              <w:rPr>
                <w:sz w:val="20"/>
                <w:szCs w:val="20"/>
              </w:rPr>
            </w:pPr>
            <w:r>
              <w:rPr>
                <w:color w:val="FF0000"/>
                <w:sz w:val="20"/>
                <w:szCs w:val="20"/>
              </w:rPr>
              <w:t>Gillette excluded if no UMN personnel or resources involved.</w:t>
            </w:r>
          </w:p>
        </w:tc>
        <w:tc>
          <w:tcPr>
            <w:tcW w:w="2155" w:type="dxa"/>
          </w:tcPr>
          <w:p w14:paraId="3CCA8697" w14:textId="77777777" w:rsidR="005C4629" w:rsidRDefault="005C4629" w:rsidP="00257E21">
            <w:pPr>
              <w:rPr>
                <w:sz w:val="20"/>
                <w:szCs w:val="20"/>
              </w:rPr>
            </w:pPr>
            <w:r>
              <w:rPr>
                <w:sz w:val="20"/>
                <w:szCs w:val="20"/>
              </w:rPr>
              <w:t>Must be completed prior to final IRB approval is granted.</w:t>
            </w:r>
          </w:p>
          <w:p w14:paraId="4F69C2E3" w14:textId="409A1BF5" w:rsidR="005C4629" w:rsidRDefault="005C4629" w:rsidP="00257E21">
            <w:pPr>
              <w:rPr>
                <w:sz w:val="20"/>
                <w:szCs w:val="20"/>
              </w:rPr>
            </w:pPr>
            <w:r>
              <w:rPr>
                <w:sz w:val="20"/>
                <w:szCs w:val="20"/>
              </w:rPr>
              <w:t>Note: If the IRB does not approve a waiver or alteration of HIPAA Authorization, HIPCO will be tagged again as an ancillary review to ensure HIPAA compliance.</w:t>
            </w:r>
          </w:p>
        </w:tc>
      </w:tr>
      <w:tr w:rsidR="00257E21" w14:paraId="4BF4377F" w14:textId="77777777" w:rsidTr="005727E3">
        <w:trPr>
          <w:cantSplit/>
          <w:trHeight w:val="3614"/>
        </w:trPr>
        <w:tc>
          <w:tcPr>
            <w:tcW w:w="1615" w:type="dxa"/>
          </w:tcPr>
          <w:p w14:paraId="12D1DDF5" w14:textId="68966C4C" w:rsidR="005C4629" w:rsidRPr="00627DB4" w:rsidRDefault="00A31BFA" w:rsidP="00257E21">
            <w:hyperlink r:id="rId42">
              <w:r w:rsidR="005C4629" w:rsidRPr="00627DB4">
                <w:rPr>
                  <w:color w:val="0432FF"/>
                  <w:u w:val="single"/>
                </w:rPr>
                <w:t>Office of Institutional Compliance – Conflict of Interest</w:t>
              </w:r>
            </w:hyperlink>
          </w:p>
        </w:tc>
        <w:tc>
          <w:tcPr>
            <w:tcW w:w="1620" w:type="dxa"/>
          </w:tcPr>
          <w:p w14:paraId="183CC22B" w14:textId="6DC59120" w:rsidR="005C4629" w:rsidRDefault="005C4629" w:rsidP="00257E21">
            <w:pPr>
              <w:rPr>
                <w:sz w:val="20"/>
                <w:szCs w:val="20"/>
              </w:rPr>
            </w:pPr>
            <w:r>
              <w:rPr>
                <w:sz w:val="20"/>
                <w:szCs w:val="20"/>
              </w:rPr>
              <w:t>Conflict of Interest</w:t>
            </w:r>
          </w:p>
        </w:tc>
        <w:tc>
          <w:tcPr>
            <w:tcW w:w="2790" w:type="dxa"/>
          </w:tcPr>
          <w:p w14:paraId="6DF1AE01" w14:textId="4F5D650C" w:rsidR="005C4629" w:rsidRDefault="005C4629" w:rsidP="00257E21">
            <w:pPr>
              <w:rPr>
                <w:sz w:val="20"/>
                <w:szCs w:val="20"/>
              </w:rPr>
            </w:pPr>
            <w:r>
              <w:rPr>
                <w:sz w:val="20"/>
                <w:szCs w:val="20"/>
              </w:rPr>
              <w:t>Indication that any study team member affiliated with the University of Minnesota has a conflict of interest</w:t>
            </w:r>
          </w:p>
        </w:tc>
        <w:tc>
          <w:tcPr>
            <w:tcW w:w="2520" w:type="dxa"/>
          </w:tcPr>
          <w:p w14:paraId="4CFA50E7" w14:textId="77777777" w:rsidR="005C4629" w:rsidRDefault="005C4629" w:rsidP="00257E21">
            <w:pPr>
              <w:numPr>
                <w:ilvl w:val="0"/>
                <w:numId w:val="25"/>
              </w:numPr>
              <w:pBdr>
                <w:top w:val="nil"/>
                <w:left w:val="nil"/>
                <w:bottom w:val="nil"/>
                <w:right w:val="nil"/>
                <w:between w:val="nil"/>
              </w:pBdr>
              <w:ind w:left="275" w:hanging="275"/>
              <w:rPr>
                <w:color w:val="000000"/>
                <w:sz w:val="20"/>
                <w:szCs w:val="20"/>
              </w:rPr>
            </w:pPr>
            <w:r>
              <w:rPr>
                <w:color w:val="000000"/>
                <w:sz w:val="20"/>
                <w:szCs w:val="20"/>
              </w:rPr>
              <w:t>Initial Review</w:t>
            </w:r>
          </w:p>
          <w:p w14:paraId="39FE9C10" w14:textId="77777777" w:rsidR="005C4629" w:rsidRDefault="005C4629" w:rsidP="00257E21">
            <w:pPr>
              <w:numPr>
                <w:ilvl w:val="0"/>
                <w:numId w:val="25"/>
              </w:numPr>
              <w:pBdr>
                <w:top w:val="nil"/>
                <w:left w:val="nil"/>
                <w:bottom w:val="nil"/>
                <w:right w:val="nil"/>
                <w:between w:val="nil"/>
              </w:pBdr>
              <w:ind w:left="275" w:hanging="275"/>
              <w:rPr>
                <w:color w:val="000000"/>
                <w:sz w:val="20"/>
                <w:szCs w:val="20"/>
              </w:rPr>
            </w:pPr>
            <w:r>
              <w:rPr>
                <w:color w:val="000000"/>
                <w:sz w:val="20"/>
                <w:szCs w:val="20"/>
              </w:rPr>
              <w:t>Modifications</w:t>
            </w:r>
          </w:p>
          <w:p w14:paraId="6BAD5A04" w14:textId="77B5EC19" w:rsidR="005C4629" w:rsidRDefault="005C4629" w:rsidP="00257E21">
            <w:pPr>
              <w:numPr>
                <w:ilvl w:val="0"/>
                <w:numId w:val="24"/>
              </w:numPr>
              <w:pBdr>
                <w:top w:val="nil"/>
                <w:left w:val="nil"/>
                <w:bottom w:val="nil"/>
                <w:right w:val="nil"/>
                <w:between w:val="nil"/>
              </w:pBdr>
              <w:ind w:left="251" w:hanging="270"/>
              <w:rPr>
                <w:color w:val="000000"/>
                <w:sz w:val="20"/>
                <w:szCs w:val="20"/>
              </w:rPr>
            </w:pPr>
            <w:r>
              <w:rPr>
                <w:color w:val="000000"/>
                <w:sz w:val="20"/>
                <w:szCs w:val="20"/>
              </w:rPr>
              <w:t>Continuing Review</w:t>
            </w:r>
          </w:p>
        </w:tc>
        <w:tc>
          <w:tcPr>
            <w:tcW w:w="2070" w:type="dxa"/>
          </w:tcPr>
          <w:p w14:paraId="192F7691" w14:textId="77777777" w:rsidR="005C4629" w:rsidRDefault="005C4629" w:rsidP="00257E21">
            <w:pPr>
              <w:rPr>
                <w:sz w:val="20"/>
                <w:szCs w:val="20"/>
              </w:rPr>
            </w:pPr>
            <w:r>
              <w:rPr>
                <w:sz w:val="20"/>
                <w:szCs w:val="20"/>
              </w:rPr>
              <w:t>Seth Beccard</w:t>
            </w:r>
          </w:p>
          <w:p w14:paraId="4CE45957" w14:textId="77777777" w:rsidR="005C4629" w:rsidRPr="001733B4" w:rsidRDefault="00A31BFA" w:rsidP="00257E21">
            <w:pPr>
              <w:rPr>
                <w:color w:val="0432FF"/>
                <w:sz w:val="20"/>
                <w:szCs w:val="20"/>
              </w:rPr>
            </w:pPr>
            <w:hyperlink r:id="rId43">
              <w:r w:rsidR="005C4629" w:rsidRPr="001733B4">
                <w:rPr>
                  <w:color w:val="0432FF"/>
                  <w:sz w:val="20"/>
                  <w:szCs w:val="20"/>
                  <w:u w:val="single"/>
                </w:rPr>
                <w:t>becca002@umn.edu</w:t>
              </w:r>
            </w:hyperlink>
            <w:r w:rsidR="005C4629" w:rsidRPr="001733B4">
              <w:rPr>
                <w:color w:val="0432FF"/>
                <w:sz w:val="20"/>
                <w:szCs w:val="20"/>
              </w:rPr>
              <w:t xml:space="preserve"> </w:t>
            </w:r>
          </w:p>
          <w:p w14:paraId="74633CD1" w14:textId="6F442F13" w:rsidR="005C4629" w:rsidRDefault="005C4629" w:rsidP="00257E21">
            <w:pPr>
              <w:rPr>
                <w:sz w:val="20"/>
                <w:szCs w:val="20"/>
              </w:rPr>
            </w:pPr>
            <w:r>
              <w:rPr>
                <w:sz w:val="20"/>
                <w:szCs w:val="20"/>
              </w:rPr>
              <w:t>612-625-2210</w:t>
            </w:r>
          </w:p>
        </w:tc>
        <w:tc>
          <w:tcPr>
            <w:tcW w:w="1620" w:type="dxa"/>
          </w:tcPr>
          <w:p w14:paraId="25CEEF41" w14:textId="77777777" w:rsidR="005C4629" w:rsidRDefault="005C4629" w:rsidP="00257E21">
            <w:pPr>
              <w:rPr>
                <w:sz w:val="20"/>
                <w:szCs w:val="20"/>
              </w:rPr>
            </w:pPr>
            <w:r>
              <w:rPr>
                <w:sz w:val="20"/>
                <w:szCs w:val="20"/>
              </w:rPr>
              <w:t>Report of External Professional Activities (REPA) form</w:t>
            </w:r>
          </w:p>
          <w:p w14:paraId="0EBD5421" w14:textId="77777777" w:rsidR="005C4629" w:rsidRDefault="005C4629" w:rsidP="00257E21">
            <w:pPr>
              <w:rPr>
                <w:sz w:val="20"/>
                <w:szCs w:val="20"/>
              </w:rPr>
            </w:pPr>
          </w:p>
          <w:p w14:paraId="1E211763" w14:textId="10511C5B" w:rsidR="005C4629" w:rsidRDefault="005C4629" w:rsidP="00257E21">
            <w:pPr>
              <w:rPr>
                <w:sz w:val="20"/>
                <w:szCs w:val="20"/>
              </w:rPr>
            </w:pPr>
            <w:r>
              <w:rPr>
                <w:color w:val="FF0000"/>
                <w:sz w:val="20"/>
                <w:szCs w:val="20"/>
              </w:rPr>
              <w:t>Gillette excluded</w:t>
            </w:r>
          </w:p>
        </w:tc>
        <w:tc>
          <w:tcPr>
            <w:tcW w:w="2155" w:type="dxa"/>
          </w:tcPr>
          <w:p w14:paraId="12B9828A" w14:textId="77777777" w:rsidR="005C4629" w:rsidRDefault="005C4629" w:rsidP="00257E21">
            <w:pPr>
              <w:rPr>
                <w:sz w:val="20"/>
                <w:szCs w:val="20"/>
              </w:rPr>
            </w:pPr>
            <w:r>
              <w:rPr>
                <w:sz w:val="20"/>
                <w:szCs w:val="20"/>
              </w:rPr>
              <w:t>Must be completed prior to or during IRB Pre-Review.</w:t>
            </w:r>
          </w:p>
          <w:p w14:paraId="768AF55F" w14:textId="71D19370" w:rsidR="005C4629" w:rsidRDefault="005C4629" w:rsidP="00257E21">
            <w:pPr>
              <w:rPr>
                <w:sz w:val="20"/>
                <w:szCs w:val="20"/>
              </w:rPr>
            </w:pPr>
            <w:r>
              <w:rPr>
                <w:sz w:val="20"/>
                <w:szCs w:val="20"/>
              </w:rPr>
              <w:t>Note: Exception may be made if requested by the OIC and IRB leadership.</w:t>
            </w:r>
          </w:p>
        </w:tc>
      </w:tr>
      <w:tr w:rsidR="00257E21" w14:paraId="6E6F602D" w14:textId="77777777" w:rsidTr="005727E3">
        <w:trPr>
          <w:cantSplit/>
        </w:trPr>
        <w:tc>
          <w:tcPr>
            <w:tcW w:w="1615" w:type="dxa"/>
          </w:tcPr>
          <w:p w14:paraId="226B9816" w14:textId="5E07A3FA" w:rsidR="005C4629" w:rsidRPr="00627DB4" w:rsidRDefault="005C4629" w:rsidP="00257E21">
            <w:r w:rsidRPr="00627DB4">
              <w:lastRenderedPageBreak/>
              <w:t>Institutional Biosafety Committee (IBC) including rDNA Advisory Committee</w:t>
            </w:r>
          </w:p>
          <w:p w14:paraId="0AA53C81" w14:textId="77777777" w:rsidR="005C4629" w:rsidRPr="00627DB4" w:rsidRDefault="005C4629" w:rsidP="00257E21"/>
        </w:tc>
        <w:tc>
          <w:tcPr>
            <w:tcW w:w="1620" w:type="dxa"/>
          </w:tcPr>
          <w:p w14:paraId="14B64675" w14:textId="77777777" w:rsidR="005C4629" w:rsidRDefault="005C4629" w:rsidP="00257E21">
            <w:pPr>
              <w:rPr>
                <w:sz w:val="20"/>
                <w:szCs w:val="20"/>
              </w:rPr>
            </w:pPr>
            <w:r>
              <w:rPr>
                <w:sz w:val="20"/>
                <w:szCs w:val="20"/>
              </w:rPr>
              <w:t>IBC Oversight</w:t>
            </w:r>
          </w:p>
          <w:p w14:paraId="2FB9AE67" w14:textId="77777777" w:rsidR="005C4629" w:rsidRDefault="005C4629" w:rsidP="00257E21">
            <w:pPr>
              <w:rPr>
                <w:sz w:val="20"/>
                <w:szCs w:val="20"/>
              </w:rPr>
            </w:pPr>
          </w:p>
          <w:p w14:paraId="01646C3B" w14:textId="77777777" w:rsidR="005C4629" w:rsidRDefault="005C4629" w:rsidP="00257E21">
            <w:pPr>
              <w:rPr>
                <w:sz w:val="20"/>
                <w:szCs w:val="20"/>
              </w:rPr>
            </w:pPr>
            <w:r>
              <w:rPr>
                <w:sz w:val="20"/>
                <w:szCs w:val="20"/>
              </w:rPr>
              <w:t>rDNA Advisory Committee</w:t>
            </w:r>
          </w:p>
          <w:p w14:paraId="0498B980" w14:textId="77777777" w:rsidR="005C4629" w:rsidRDefault="005C4629" w:rsidP="00257E21">
            <w:pPr>
              <w:rPr>
                <w:sz w:val="20"/>
                <w:szCs w:val="20"/>
              </w:rPr>
            </w:pPr>
          </w:p>
          <w:p w14:paraId="72112177" w14:textId="77777777" w:rsidR="005C4629" w:rsidRDefault="005C4629" w:rsidP="00257E21">
            <w:pPr>
              <w:rPr>
                <w:sz w:val="20"/>
                <w:szCs w:val="20"/>
              </w:rPr>
            </w:pPr>
            <w:r>
              <w:rPr>
                <w:sz w:val="20"/>
                <w:szCs w:val="20"/>
              </w:rPr>
              <w:t>Note to IRB analyst: include comment explaining rationale for assigning ancillary review</w:t>
            </w:r>
          </w:p>
          <w:p w14:paraId="000EE700" w14:textId="77777777" w:rsidR="005C4629" w:rsidRDefault="005C4629" w:rsidP="00257E21">
            <w:pPr>
              <w:rPr>
                <w:sz w:val="20"/>
                <w:szCs w:val="20"/>
              </w:rPr>
            </w:pPr>
          </w:p>
        </w:tc>
        <w:tc>
          <w:tcPr>
            <w:tcW w:w="2790" w:type="dxa"/>
          </w:tcPr>
          <w:p w14:paraId="163DBFE3" w14:textId="77777777" w:rsidR="005C4629" w:rsidRDefault="005C4629" w:rsidP="00257E21">
            <w:pPr>
              <w:rPr>
                <w:sz w:val="20"/>
                <w:szCs w:val="20"/>
              </w:rPr>
            </w:pPr>
            <w:r>
              <w:rPr>
                <w:sz w:val="20"/>
                <w:szCs w:val="20"/>
              </w:rPr>
              <w:t xml:space="preserve">Use of recombinant </w:t>
            </w:r>
          </w:p>
          <w:p w14:paraId="59F72009" w14:textId="77777777" w:rsidR="005C4629" w:rsidRDefault="005C4629" w:rsidP="00257E21">
            <w:pPr>
              <w:rPr>
                <w:sz w:val="20"/>
                <w:szCs w:val="20"/>
              </w:rPr>
            </w:pPr>
            <w:r>
              <w:rPr>
                <w:sz w:val="20"/>
                <w:szCs w:val="20"/>
              </w:rPr>
              <w:t xml:space="preserve">and synthetic nucleic acid, </w:t>
            </w:r>
            <w:proofErr w:type="gramStart"/>
            <w:r>
              <w:rPr>
                <w:sz w:val="20"/>
                <w:szCs w:val="20"/>
              </w:rPr>
              <w:t>toxins</w:t>
            </w:r>
            <w:proofErr w:type="gramEnd"/>
            <w:r>
              <w:rPr>
                <w:sz w:val="20"/>
                <w:szCs w:val="20"/>
              </w:rPr>
              <w:t xml:space="preserve"> or infections agents (bacteria or viruses). </w:t>
            </w:r>
          </w:p>
          <w:p w14:paraId="7894D86D" w14:textId="77777777" w:rsidR="005C4629" w:rsidRDefault="005C4629" w:rsidP="00257E21">
            <w:pPr>
              <w:rPr>
                <w:sz w:val="20"/>
                <w:szCs w:val="20"/>
              </w:rPr>
            </w:pPr>
            <w:r>
              <w:rPr>
                <w:sz w:val="20"/>
                <w:szCs w:val="20"/>
              </w:rPr>
              <w:t>Includes Human Gene Transfer, IE, genetically engineered viruses/bacteria/cells, use of RNA or DNA.</w:t>
            </w:r>
          </w:p>
          <w:p w14:paraId="013FC1AA" w14:textId="77777777" w:rsidR="005C4629" w:rsidRDefault="005C4629" w:rsidP="00257E21">
            <w:pPr>
              <w:rPr>
                <w:sz w:val="20"/>
                <w:szCs w:val="20"/>
              </w:rPr>
            </w:pPr>
          </w:p>
          <w:p w14:paraId="56C09F13" w14:textId="05F5582D" w:rsidR="005C4629" w:rsidRDefault="005C4629" w:rsidP="00257E21">
            <w:pPr>
              <w:rPr>
                <w:sz w:val="20"/>
                <w:szCs w:val="20"/>
              </w:rPr>
            </w:pPr>
            <w:r>
              <w:rPr>
                <w:sz w:val="20"/>
                <w:szCs w:val="20"/>
              </w:rPr>
              <w:t>Any overlap projects that have application components that fit the policies for stem cell research or fetal tissue research that are reviewed by those respective oversight groups.</w:t>
            </w:r>
          </w:p>
        </w:tc>
        <w:tc>
          <w:tcPr>
            <w:tcW w:w="2520" w:type="dxa"/>
          </w:tcPr>
          <w:p w14:paraId="3044596B" w14:textId="77777777" w:rsidR="005C4629" w:rsidRDefault="005C4629" w:rsidP="00257E21">
            <w:pPr>
              <w:numPr>
                <w:ilvl w:val="0"/>
                <w:numId w:val="26"/>
              </w:numPr>
              <w:pBdr>
                <w:top w:val="nil"/>
                <w:left w:val="nil"/>
                <w:bottom w:val="nil"/>
                <w:right w:val="nil"/>
                <w:between w:val="nil"/>
              </w:pBdr>
              <w:ind w:left="251" w:hanging="251"/>
              <w:rPr>
                <w:color w:val="000000"/>
                <w:sz w:val="20"/>
                <w:szCs w:val="20"/>
              </w:rPr>
            </w:pPr>
            <w:r>
              <w:rPr>
                <w:color w:val="000000"/>
                <w:sz w:val="20"/>
                <w:szCs w:val="20"/>
              </w:rPr>
              <w:t>Initial Review</w:t>
            </w:r>
          </w:p>
          <w:p w14:paraId="49271D25" w14:textId="77777777" w:rsidR="005C4629" w:rsidRDefault="005C4629" w:rsidP="00257E21">
            <w:pPr>
              <w:numPr>
                <w:ilvl w:val="0"/>
                <w:numId w:val="26"/>
              </w:numPr>
              <w:pBdr>
                <w:top w:val="nil"/>
                <w:left w:val="nil"/>
                <w:bottom w:val="nil"/>
                <w:right w:val="nil"/>
                <w:between w:val="nil"/>
              </w:pBdr>
              <w:ind w:left="251" w:hanging="251"/>
              <w:rPr>
                <w:color w:val="000000"/>
                <w:sz w:val="20"/>
                <w:szCs w:val="20"/>
              </w:rPr>
            </w:pPr>
            <w:r>
              <w:rPr>
                <w:color w:val="000000"/>
                <w:sz w:val="20"/>
                <w:szCs w:val="20"/>
              </w:rPr>
              <w:t>Modifications to protocols</w:t>
            </w:r>
          </w:p>
          <w:p w14:paraId="36A37EF6" w14:textId="77777777" w:rsidR="005C4629" w:rsidRDefault="005C4629" w:rsidP="005727E3">
            <w:pPr>
              <w:pBdr>
                <w:top w:val="nil"/>
                <w:left w:val="nil"/>
                <w:bottom w:val="nil"/>
                <w:right w:val="nil"/>
                <w:between w:val="nil"/>
              </w:pBdr>
              <w:rPr>
                <w:color w:val="000000"/>
                <w:sz w:val="20"/>
                <w:szCs w:val="20"/>
              </w:rPr>
            </w:pPr>
          </w:p>
        </w:tc>
        <w:tc>
          <w:tcPr>
            <w:tcW w:w="2070" w:type="dxa"/>
          </w:tcPr>
          <w:p w14:paraId="7C95E2A0" w14:textId="77777777" w:rsidR="005C4629" w:rsidRDefault="005C4629" w:rsidP="00257E21">
            <w:pPr>
              <w:rPr>
                <w:sz w:val="20"/>
                <w:szCs w:val="20"/>
              </w:rPr>
            </w:pPr>
            <w:r>
              <w:rPr>
                <w:sz w:val="20"/>
                <w:szCs w:val="20"/>
              </w:rPr>
              <w:t>Greg Park</w:t>
            </w:r>
          </w:p>
          <w:p w14:paraId="1D2415E7" w14:textId="77777777" w:rsidR="005C4629" w:rsidRPr="001733B4" w:rsidRDefault="00A31BFA" w:rsidP="00257E21">
            <w:pPr>
              <w:rPr>
                <w:color w:val="0432FF"/>
                <w:sz w:val="20"/>
                <w:szCs w:val="20"/>
                <w:u w:val="single"/>
              </w:rPr>
            </w:pPr>
            <w:hyperlink r:id="rId44">
              <w:r w:rsidR="005C4629" w:rsidRPr="001733B4">
                <w:rPr>
                  <w:color w:val="0432FF"/>
                  <w:sz w:val="20"/>
                  <w:szCs w:val="20"/>
                  <w:u w:val="single"/>
                </w:rPr>
                <w:t>Parkx479@umn.edu</w:t>
              </w:r>
            </w:hyperlink>
            <w:r w:rsidR="005C4629" w:rsidRPr="001733B4">
              <w:rPr>
                <w:color w:val="0432FF"/>
                <w:sz w:val="20"/>
                <w:szCs w:val="20"/>
                <w:u w:val="single"/>
              </w:rPr>
              <w:t xml:space="preserve"> </w:t>
            </w:r>
          </w:p>
          <w:p w14:paraId="394A696D" w14:textId="0C69097A" w:rsidR="005C4629" w:rsidRDefault="005C4629" w:rsidP="00257E21">
            <w:pPr>
              <w:rPr>
                <w:sz w:val="20"/>
                <w:szCs w:val="20"/>
              </w:rPr>
            </w:pPr>
            <w:r>
              <w:rPr>
                <w:color w:val="000000"/>
                <w:sz w:val="20"/>
                <w:szCs w:val="20"/>
              </w:rPr>
              <w:t>612-626-2161</w:t>
            </w:r>
          </w:p>
        </w:tc>
        <w:tc>
          <w:tcPr>
            <w:tcW w:w="1620" w:type="dxa"/>
          </w:tcPr>
          <w:p w14:paraId="76BB4E11" w14:textId="349D3688" w:rsidR="005C4629" w:rsidRDefault="005C4629" w:rsidP="00257E21">
            <w:pPr>
              <w:rPr>
                <w:sz w:val="20"/>
                <w:szCs w:val="20"/>
              </w:rPr>
            </w:pPr>
            <w:r>
              <w:rPr>
                <w:sz w:val="20"/>
                <w:szCs w:val="20"/>
              </w:rPr>
              <w:t xml:space="preserve">Application submitted via eprotocol.umn.edu  </w:t>
            </w:r>
          </w:p>
        </w:tc>
        <w:tc>
          <w:tcPr>
            <w:tcW w:w="2155" w:type="dxa"/>
          </w:tcPr>
          <w:p w14:paraId="0AAEC95B" w14:textId="0E41D581" w:rsidR="005C4629" w:rsidRDefault="005C4629" w:rsidP="00257E21">
            <w:pPr>
              <w:rPr>
                <w:sz w:val="20"/>
                <w:szCs w:val="20"/>
              </w:rPr>
            </w:pPr>
            <w:r>
              <w:rPr>
                <w:sz w:val="20"/>
                <w:szCs w:val="20"/>
              </w:rPr>
              <w:t>Must be completed prior to final IRB approval is granted.</w:t>
            </w:r>
          </w:p>
        </w:tc>
      </w:tr>
      <w:tr w:rsidR="00257E21" w14:paraId="19191666" w14:textId="77777777" w:rsidTr="005727E3">
        <w:trPr>
          <w:cantSplit/>
        </w:trPr>
        <w:tc>
          <w:tcPr>
            <w:tcW w:w="1615" w:type="dxa"/>
          </w:tcPr>
          <w:p w14:paraId="5A8A1A68" w14:textId="77777777" w:rsidR="005C4629" w:rsidRPr="00627DB4" w:rsidRDefault="00A31BFA" w:rsidP="00257E21">
            <w:pPr>
              <w:rPr>
                <w:color w:val="0432FF"/>
              </w:rPr>
            </w:pPr>
            <w:hyperlink r:id="rId45">
              <w:r w:rsidR="005C4629" w:rsidRPr="00627DB4">
                <w:rPr>
                  <w:color w:val="0432FF"/>
                  <w:u w:val="single"/>
                </w:rPr>
                <w:t>Fetal Tissue Research (FTR)</w:t>
              </w:r>
            </w:hyperlink>
          </w:p>
          <w:p w14:paraId="7F23DE2C" w14:textId="77777777" w:rsidR="005C4629" w:rsidRPr="00627DB4" w:rsidRDefault="005C4629" w:rsidP="00257E21">
            <w:r w:rsidRPr="00627DB4">
              <w:t xml:space="preserve">Note:  </w:t>
            </w:r>
          </w:p>
          <w:p w14:paraId="1E06B8F5" w14:textId="1E0F2863" w:rsidR="005C4629" w:rsidRPr="00627DB4" w:rsidRDefault="005C4629" w:rsidP="00257E21">
            <w:r w:rsidRPr="00627DB4">
              <w:t>Assign ancillary review to IBC</w:t>
            </w:r>
          </w:p>
        </w:tc>
        <w:tc>
          <w:tcPr>
            <w:tcW w:w="1620" w:type="dxa"/>
          </w:tcPr>
          <w:p w14:paraId="468D0EBE" w14:textId="77777777" w:rsidR="005C4629" w:rsidRDefault="005C4629" w:rsidP="00257E21">
            <w:pPr>
              <w:rPr>
                <w:sz w:val="20"/>
                <w:szCs w:val="20"/>
              </w:rPr>
            </w:pPr>
            <w:r>
              <w:rPr>
                <w:sz w:val="20"/>
                <w:szCs w:val="20"/>
              </w:rPr>
              <w:t>Other</w:t>
            </w:r>
          </w:p>
          <w:p w14:paraId="2C7B7261" w14:textId="77777777" w:rsidR="005C4629" w:rsidRDefault="005C4629" w:rsidP="00257E21">
            <w:pPr>
              <w:rPr>
                <w:sz w:val="20"/>
                <w:szCs w:val="20"/>
              </w:rPr>
            </w:pPr>
            <w:r>
              <w:rPr>
                <w:sz w:val="20"/>
                <w:szCs w:val="20"/>
              </w:rPr>
              <w:t>Note to IRB analyst: Include comment explaining rationale for review assignment</w:t>
            </w:r>
          </w:p>
          <w:p w14:paraId="16DFC789" w14:textId="77777777" w:rsidR="005C4629" w:rsidRDefault="005C4629" w:rsidP="00257E21">
            <w:pPr>
              <w:rPr>
                <w:sz w:val="20"/>
                <w:szCs w:val="20"/>
              </w:rPr>
            </w:pPr>
          </w:p>
          <w:p w14:paraId="02F25AAF" w14:textId="77777777" w:rsidR="005C4629" w:rsidRDefault="005C4629" w:rsidP="00257E21">
            <w:pPr>
              <w:rPr>
                <w:sz w:val="20"/>
                <w:szCs w:val="20"/>
              </w:rPr>
            </w:pPr>
          </w:p>
        </w:tc>
        <w:tc>
          <w:tcPr>
            <w:tcW w:w="2790" w:type="dxa"/>
          </w:tcPr>
          <w:p w14:paraId="268DB096" w14:textId="21F69382" w:rsidR="005C4629" w:rsidRDefault="005C4629" w:rsidP="00257E21">
            <w:pPr>
              <w:rPr>
                <w:sz w:val="20"/>
                <w:szCs w:val="20"/>
              </w:rPr>
            </w:pPr>
            <w:r>
              <w:rPr>
                <w:sz w:val="20"/>
                <w:szCs w:val="20"/>
              </w:rPr>
              <w:t xml:space="preserve">All research involving use of human fetal tissue research. </w:t>
            </w:r>
          </w:p>
        </w:tc>
        <w:tc>
          <w:tcPr>
            <w:tcW w:w="2520" w:type="dxa"/>
          </w:tcPr>
          <w:p w14:paraId="0B85B9AC" w14:textId="55DB6D94" w:rsidR="005C4629" w:rsidRDefault="005727E3" w:rsidP="00257E21">
            <w:pPr>
              <w:numPr>
                <w:ilvl w:val="0"/>
                <w:numId w:val="23"/>
              </w:numPr>
              <w:pBdr>
                <w:top w:val="nil"/>
                <w:left w:val="nil"/>
                <w:bottom w:val="nil"/>
                <w:right w:val="nil"/>
                <w:between w:val="nil"/>
              </w:pBdr>
              <w:ind w:left="251" w:hanging="270"/>
              <w:rPr>
                <w:color w:val="000000"/>
                <w:sz w:val="20"/>
                <w:szCs w:val="20"/>
              </w:rPr>
            </w:pPr>
            <w:r>
              <w:rPr>
                <w:color w:val="000000"/>
                <w:sz w:val="20"/>
                <w:szCs w:val="20"/>
              </w:rPr>
              <w:t xml:space="preserve"> </w:t>
            </w:r>
            <w:r w:rsidR="005C4629">
              <w:rPr>
                <w:color w:val="000000"/>
                <w:sz w:val="20"/>
                <w:szCs w:val="20"/>
              </w:rPr>
              <w:t>Initial Review</w:t>
            </w:r>
          </w:p>
          <w:p w14:paraId="24BC2923" w14:textId="2430ADFD" w:rsidR="005C4629" w:rsidRDefault="005C4629" w:rsidP="00257E21">
            <w:pPr>
              <w:numPr>
                <w:ilvl w:val="0"/>
                <w:numId w:val="25"/>
              </w:numPr>
              <w:pBdr>
                <w:top w:val="nil"/>
                <w:left w:val="nil"/>
                <w:bottom w:val="nil"/>
                <w:right w:val="nil"/>
                <w:between w:val="nil"/>
              </w:pBdr>
              <w:ind w:left="275" w:hanging="275"/>
              <w:rPr>
                <w:color w:val="000000"/>
                <w:sz w:val="20"/>
                <w:szCs w:val="20"/>
              </w:rPr>
            </w:pPr>
            <w:r>
              <w:rPr>
                <w:color w:val="000000"/>
                <w:sz w:val="20"/>
                <w:szCs w:val="20"/>
              </w:rPr>
              <w:t>Modifications to protocols that would include a new use of Fetal Tissue</w:t>
            </w:r>
          </w:p>
        </w:tc>
        <w:tc>
          <w:tcPr>
            <w:tcW w:w="2070" w:type="dxa"/>
          </w:tcPr>
          <w:p w14:paraId="7A8F86B8" w14:textId="77777777" w:rsidR="005C4629" w:rsidRDefault="005C4629" w:rsidP="00257E21">
            <w:pPr>
              <w:rPr>
                <w:sz w:val="20"/>
                <w:szCs w:val="20"/>
              </w:rPr>
            </w:pPr>
            <w:r>
              <w:rPr>
                <w:sz w:val="20"/>
                <w:szCs w:val="20"/>
              </w:rPr>
              <w:t>Greg Park</w:t>
            </w:r>
          </w:p>
          <w:p w14:paraId="6F302971" w14:textId="77777777" w:rsidR="005C4629" w:rsidRPr="001733B4" w:rsidRDefault="00A31BFA" w:rsidP="00257E21">
            <w:pPr>
              <w:rPr>
                <w:color w:val="0432FF"/>
                <w:sz w:val="20"/>
                <w:szCs w:val="20"/>
                <w:u w:val="single"/>
              </w:rPr>
            </w:pPr>
            <w:hyperlink r:id="rId46">
              <w:r w:rsidR="005C4629" w:rsidRPr="001733B4">
                <w:rPr>
                  <w:color w:val="0432FF"/>
                  <w:sz w:val="20"/>
                  <w:szCs w:val="20"/>
                  <w:u w:val="single"/>
                </w:rPr>
                <w:t>Parkx479@umn.edu</w:t>
              </w:r>
            </w:hyperlink>
            <w:r w:rsidR="005C4629" w:rsidRPr="001733B4">
              <w:rPr>
                <w:color w:val="0432FF"/>
                <w:sz w:val="20"/>
                <w:szCs w:val="20"/>
                <w:u w:val="single"/>
              </w:rPr>
              <w:t xml:space="preserve"> </w:t>
            </w:r>
          </w:p>
          <w:p w14:paraId="6182E87F" w14:textId="25B2C3C5" w:rsidR="005C4629" w:rsidRDefault="005C4629" w:rsidP="00257E21">
            <w:pPr>
              <w:rPr>
                <w:sz w:val="20"/>
                <w:szCs w:val="20"/>
              </w:rPr>
            </w:pPr>
            <w:r>
              <w:rPr>
                <w:color w:val="000000"/>
                <w:sz w:val="20"/>
                <w:szCs w:val="20"/>
              </w:rPr>
              <w:t>612-626-2161</w:t>
            </w:r>
          </w:p>
        </w:tc>
        <w:tc>
          <w:tcPr>
            <w:tcW w:w="1620" w:type="dxa"/>
          </w:tcPr>
          <w:p w14:paraId="761E4698" w14:textId="1746D598" w:rsidR="005C4629" w:rsidRDefault="005C4629" w:rsidP="00257E21">
            <w:pPr>
              <w:rPr>
                <w:sz w:val="20"/>
                <w:szCs w:val="20"/>
              </w:rPr>
            </w:pPr>
            <w:r>
              <w:rPr>
                <w:sz w:val="20"/>
                <w:szCs w:val="20"/>
              </w:rPr>
              <w:t>Contact</w:t>
            </w:r>
            <w:r w:rsidRPr="001733B4">
              <w:rPr>
                <w:color w:val="0432FF"/>
                <w:sz w:val="20"/>
                <w:szCs w:val="20"/>
              </w:rPr>
              <w:t xml:space="preserve"> </w:t>
            </w:r>
            <w:hyperlink r:id="rId47">
              <w:r w:rsidRPr="001733B4">
                <w:rPr>
                  <w:color w:val="0432FF"/>
                  <w:sz w:val="20"/>
                  <w:szCs w:val="20"/>
                  <w:u w:val="single"/>
                </w:rPr>
                <w:t>OBAO</w:t>
              </w:r>
            </w:hyperlink>
            <w:r>
              <w:rPr>
                <w:sz w:val="20"/>
                <w:szCs w:val="20"/>
              </w:rPr>
              <w:t xml:space="preserve"> for submission instructions </w:t>
            </w:r>
          </w:p>
        </w:tc>
        <w:tc>
          <w:tcPr>
            <w:tcW w:w="2155" w:type="dxa"/>
          </w:tcPr>
          <w:p w14:paraId="02873C18" w14:textId="52F010D5" w:rsidR="005C4629" w:rsidRDefault="005C4629" w:rsidP="00257E21">
            <w:pPr>
              <w:rPr>
                <w:sz w:val="20"/>
                <w:szCs w:val="20"/>
              </w:rPr>
            </w:pPr>
            <w:r>
              <w:rPr>
                <w:sz w:val="20"/>
                <w:szCs w:val="20"/>
              </w:rPr>
              <w:t>Must be completed prior to final IRB approval is granted.</w:t>
            </w:r>
          </w:p>
        </w:tc>
      </w:tr>
      <w:tr w:rsidR="00257E21" w14:paraId="55897350" w14:textId="77777777" w:rsidTr="005727E3">
        <w:trPr>
          <w:cantSplit/>
        </w:trPr>
        <w:tc>
          <w:tcPr>
            <w:tcW w:w="1615" w:type="dxa"/>
          </w:tcPr>
          <w:p w14:paraId="08E40660" w14:textId="77777777" w:rsidR="005C4629" w:rsidRPr="00627DB4" w:rsidRDefault="00A31BFA" w:rsidP="00257E21">
            <w:pPr>
              <w:rPr>
                <w:color w:val="0432FF"/>
              </w:rPr>
            </w:pPr>
            <w:hyperlink r:id="rId48">
              <w:r w:rsidR="005C4629" w:rsidRPr="00627DB4">
                <w:rPr>
                  <w:color w:val="0432FF"/>
                  <w:u w:val="single"/>
                </w:rPr>
                <w:t xml:space="preserve">Stem Cell Research Oversight (SCRO) </w:t>
              </w:r>
            </w:hyperlink>
            <w:r w:rsidR="005C4629" w:rsidRPr="00627DB4">
              <w:rPr>
                <w:color w:val="0432FF"/>
              </w:rPr>
              <w:t xml:space="preserve"> </w:t>
            </w:r>
          </w:p>
          <w:p w14:paraId="2025D4D2" w14:textId="2ED5543D" w:rsidR="005C4629" w:rsidRPr="00627DB4" w:rsidRDefault="005C4629" w:rsidP="00257E21">
            <w:pPr>
              <w:tabs>
                <w:tab w:val="left" w:pos="774"/>
              </w:tabs>
            </w:pPr>
            <w:r w:rsidRPr="00627DB4">
              <w:t>Note: Assign ancillary review to IBC</w:t>
            </w:r>
          </w:p>
        </w:tc>
        <w:tc>
          <w:tcPr>
            <w:tcW w:w="1620" w:type="dxa"/>
          </w:tcPr>
          <w:p w14:paraId="490D66F3" w14:textId="77777777" w:rsidR="005C4629" w:rsidRDefault="005C4629" w:rsidP="00257E21">
            <w:pPr>
              <w:rPr>
                <w:sz w:val="20"/>
                <w:szCs w:val="20"/>
              </w:rPr>
            </w:pPr>
            <w:r>
              <w:rPr>
                <w:sz w:val="20"/>
                <w:szCs w:val="20"/>
              </w:rPr>
              <w:t>Other</w:t>
            </w:r>
          </w:p>
          <w:p w14:paraId="66623036" w14:textId="22335A5C" w:rsidR="005C4629" w:rsidRDefault="005C4629" w:rsidP="00257E21">
            <w:pPr>
              <w:rPr>
                <w:sz w:val="20"/>
                <w:szCs w:val="20"/>
              </w:rPr>
            </w:pPr>
            <w:r>
              <w:rPr>
                <w:sz w:val="20"/>
                <w:szCs w:val="20"/>
              </w:rPr>
              <w:t>Note to IRB analyst: include comment explaining rationale for assignment</w:t>
            </w:r>
          </w:p>
        </w:tc>
        <w:tc>
          <w:tcPr>
            <w:tcW w:w="2790" w:type="dxa"/>
          </w:tcPr>
          <w:p w14:paraId="271E4C59" w14:textId="77777777" w:rsidR="005C4629" w:rsidRDefault="005C4629" w:rsidP="00257E21">
            <w:pPr>
              <w:rPr>
                <w:color w:val="333333"/>
                <w:sz w:val="20"/>
                <w:szCs w:val="20"/>
              </w:rPr>
            </w:pPr>
            <w:r>
              <w:rPr>
                <w:color w:val="333333"/>
                <w:sz w:val="20"/>
                <w:szCs w:val="20"/>
              </w:rPr>
              <w:t>All research involving use of human embryos or embryonic stem cells - unless used for reproductive purposes</w:t>
            </w:r>
          </w:p>
          <w:p w14:paraId="5FE08319" w14:textId="77777777" w:rsidR="005C4629" w:rsidRDefault="005C4629" w:rsidP="00257E21">
            <w:pPr>
              <w:rPr>
                <w:sz w:val="20"/>
                <w:szCs w:val="20"/>
              </w:rPr>
            </w:pPr>
          </w:p>
        </w:tc>
        <w:tc>
          <w:tcPr>
            <w:tcW w:w="2520" w:type="dxa"/>
          </w:tcPr>
          <w:p w14:paraId="5063AC67" w14:textId="77777777" w:rsidR="005C4629" w:rsidRDefault="005C4629" w:rsidP="00257E21">
            <w:pPr>
              <w:numPr>
                <w:ilvl w:val="0"/>
                <w:numId w:val="27"/>
              </w:numPr>
              <w:pBdr>
                <w:top w:val="nil"/>
                <w:left w:val="nil"/>
                <w:bottom w:val="nil"/>
                <w:right w:val="nil"/>
                <w:between w:val="nil"/>
              </w:pBdr>
              <w:ind w:left="275" w:hanging="294"/>
              <w:rPr>
                <w:color w:val="000000"/>
                <w:sz w:val="20"/>
                <w:szCs w:val="20"/>
              </w:rPr>
            </w:pPr>
            <w:r>
              <w:rPr>
                <w:color w:val="000000"/>
                <w:sz w:val="20"/>
                <w:szCs w:val="20"/>
              </w:rPr>
              <w:t>Initial Review</w:t>
            </w:r>
          </w:p>
          <w:p w14:paraId="43123D1C" w14:textId="1AD9BC7E" w:rsidR="005C4629" w:rsidRDefault="005C4629" w:rsidP="00257E21">
            <w:pPr>
              <w:numPr>
                <w:ilvl w:val="0"/>
                <w:numId w:val="25"/>
              </w:numPr>
              <w:pBdr>
                <w:top w:val="nil"/>
                <w:left w:val="nil"/>
                <w:bottom w:val="nil"/>
                <w:right w:val="nil"/>
                <w:between w:val="nil"/>
              </w:pBdr>
              <w:ind w:left="275" w:hanging="275"/>
              <w:rPr>
                <w:color w:val="000000"/>
                <w:sz w:val="20"/>
                <w:szCs w:val="20"/>
              </w:rPr>
            </w:pPr>
            <w:r>
              <w:rPr>
                <w:color w:val="000000"/>
                <w:sz w:val="20"/>
                <w:szCs w:val="20"/>
              </w:rPr>
              <w:t>Modifications that include new use of human embryonic or embryonic stem cell</w:t>
            </w:r>
          </w:p>
        </w:tc>
        <w:tc>
          <w:tcPr>
            <w:tcW w:w="2070" w:type="dxa"/>
          </w:tcPr>
          <w:p w14:paraId="2E20F5C8" w14:textId="77777777" w:rsidR="005C4629" w:rsidRDefault="005C4629" w:rsidP="00257E21">
            <w:pPr>
              <w:rPr>
                <w:sz w:val="20"/>
                <w:szCs w:val="20"/>
              </w:rPr>
            </w:pPr>
            <w:r>
              <w:rPr>
                <w:sz w:val="20"/>
                <w:szCs w:val="20"/>
              </w:rPr>
              <w:t>Greg Park</w:t>
            </w:r>
          </w:p>
          <w:p w14:paraId="4181C27D" w14:textId="77777777" w:rsidR="005C4629" w:rsidRPr="001733B4" w:rsidRDefault="00A31BFA" w:rsidP="00257E21">
            <w:pPr>
              <w:rPr>
                <w:color w:val="0432FF"/>
                <w:sz w:val="20"/>
                <w:szCs w:val="20"/>
                <w:u w:val="single"/>
              </w:rPr>
            </w:pPr>
            <w:hyperlink r:id="rId49">
              <w:r w:rsidR="005C4629" w:rsidRPr="001733B4">
                <w:rPr>
                  <w:color w:val="0432FF"/>
                  <w:sz w:val="20"/>
                  <w:szCs w:val="20"/>
                  <w:u w:val="single"/>
                </w:rPr>
                <w:t>Parkx479@umn.edu</w:t>
              </w:r>
            </w:hyperlink>
            <w:r w:rsidR="005C4629" w:rsidRPr="001733B4">
              <w:rPr>
                <w:color w:val="0432FF"/>
                <w:sz w:val="20"/>
                <w:szCs w:val="20"/>
                <w:u w:val="single"/>
              </w:rPr>
              <w:t xml:space="preserve"> </w:t>
            </w:r>
          </w:p>
          <w:p w14:paraId="2DBF2BA5" w14:textId="2A0EFE2B" w:rsidR="005C4629" w:rsidRDefault="005C4629" w:rsidP="00257E21">
            <w:pPr>
              <w:rPr>
                <w:sz w:val="20"/>
                <w:szCs w:val="20"/>
              </w:rPr>
            </w:pPr>
            <w:r>
              <w:rPr>
                <w:color w:val="000000"/>
                <w:sz w:val="20"/>
                <w:szCs w:val="20"/>
              </w:rPr>
              <w:t>612-626-2161</w:t>
            </w:r>
          </w:p>
        </w:tc>
        <w:tc>
          <w:tcPr>
            <w:tcW w:w="1620" w:type="dxa"/>
          </w:tcPr>
          <w:p w14:paraId="19FA35EE" w14:textId="19BC372D" w:rsidR="005C4629" w:rsidRDefault="005C4629" w:rsidP="00257E21">
            <w:pPr>
              <w:rPr>
                <w:sz w:val="20"/>
                <w:szCs w:val="20"/>
              </w:rPr>
            </w:pPr>
            <w:r>
              <w:rPr>
                <w:sz w:val="20"/>
                <w:szCs w:val="20"/>
              </w:rPr>
              <w:t xml:space="preserve">Contact </w:t>
            </w:r>
            <w:hyperlink r:id="rId50">
              <w:r w:rsidRPr="001733B4">
                <w:rPr>
                  <w:color w:val="0432FF"/>
                  <w:sz w:val="20"/>
                  <w:szCs w:val="20"/>
                  <w:u w:val="single"/>
                </w:rPr>
                <w:t>OBAO</w:t>
              </w:r>
            </w:hyperlink>
            <w:r>
              <w:rPr>
                <w:color w:val="333333"/>
                <w:sz w:val="20"/>
                <w:szCs w:val="20"/>
              </w:rPr>
              <w:t xml:space="preserve"> </w:t>
            </w:r>
            <w:r>
              <w:rPr>
                <w:sz w:val="20"/>
                <w:szCs w:val="20"/>
              </w:rPr>
              <w:t xml:space="preserve">for submission instructions. </w:t>
            </w:r>
          </w:p>
        </w:tc>
        <w:tc>
          <w:tcPr>
            <w:tcW w:w="2155" w:type="dxa"/>
          </w:tcPr>
          <w:p w14:paraId="2EF3AEE6" w14:textId="63F3770D" w:rsidR="005C4629" w:rsidRDefault="005C4629" w:rsidP="00257E21">
            <w:pPr>
              <w:rPr>
                <w:sz w:val="20"/>
                <w:szCs w:val="20"/>
              </w:rPr>
            </w:pPr>
            <w:r>
              <w:rPr>
                <w:sz w:val="20"/>
                <w:szCs w:val="20"/>
              </w:rPr>
              <w:t>Must be completed prior to final IRB approval granted.</w:t>
            </w:r>
          </w:p>
        </w:tc>
      </w:tr>
      <w:tr w:rsidR="00257E21" w14:paraId="3A12D632" w14:textId="77777777" w:rsidTr="005727E3">
        <w:trPr>
          <w:cantSplit/>
        </w:trPr>
        <w:tc>
          <w:tcPr>
            <w:tcW w:w="1615" w:type="dxa"/>
          </w:tcPr>
          <w:p w14:paraId="2ADD05F7" w14:textId="77777777" w:rsidR="005C4629" w:rsidRPr="00627DB4" w:rsidRDefault="00A31BFA" w:rsidP="00257E21">
            <w:pPr>
              <w:rPr>
                <w:color w:val="0432FF"/>
              </w:rPr>
            </w:pPr>
            <w:hyperlink r:id="rId51">
              <w:r w:rsidR="005C4629" w:rsidRPr="00627DB4">
                <w:rPr>
                  <w:color w:val="0432FF"/>
                  <w:u w:val="single"/>
                </w:rPr>
                <w:t>OnCore</w:t>
              </w:r>
            </w:hyperlink>
          </w:p>
          <w:p w14:paraId="7C3A92C5" w14:textId="77777777" w:rsidR="005C4629" w:rsidRPr="00627DB4" w:rsidRDefault="005C4629" w:rsidP="00257E21"/>
          <w:p w14:paraId="6C3244C6" w14:textId="77777777" w:rsidR="005C4629" w:rsidRPr="00627DB4" w:rsidRDefault="005C4629" w:rsidP="00257E21"/>
        </w:tc>
        <w:tc>
          <w:tcPr>
            <w:tcW w:w="1620" w:type="dxa"/>
          </w:tcPr>
          <w:p w14:paraId="5F8563E0" w14:textId="6E1D78B0" w:rsidR="005C4629" w:rsidRDefault="005C4629" w:rsidP="00257E21">
            <w:pPr>
              <w:rPr>
                <w:sz w:val="20"/>
                <w:szCs w:val="20"/>
              </w:rPr>
            </w:pPr>
            <w:r>
              <w:rPr>
                <w:sz w:val="20"/>
                <w:szCs w:val="20"/>
              </w:rPr>
              <w:t>OnCore registration compliance</w:t>
            </w:r>
          </w:p>
        </w:tc>
        <w:tc>
          <w:tcPr>
            <w:tcW w:w="2790" w:type="dxa"/>
          </w:tcPr>
          <w:p w14:paraId="7BABF224" w14:textId="77777777" w:rsidR="005C4629" w:rsidRDefault="005C4629" w:rsidP="00257E21">
            <w:pPr>
              <w:rPr>
                <w:sz w:val="20"/>
                <w:szCs w:val="20"/>
              </w:rPr>
            </w:pPr>
            <w:r>
              <w:rPr>
                <w:sz w:val="20"/>
                <w:szCs w:val="20"/>
              </w:rPr>
              <w:t>If response to the question “Does your study need to be registered OnCore” on the study scope page is “No” or “I don’t know”</w:t>
            </w:r>
          </w:p>
          <w:p w14:paraId="1B5583A2" w14:textId="0E75592D" w:rsidR="005C4629" w:rsidRDefault="005C4629" w:rsidP="00257E21">
            <w:pPr>
              <w:rPr>
                <w:sz w:val="20"/>
                <w:szCs w:val="20"/>
              </w:rPr>
            </w:pPr>
            <w:r>
              <w:rPr>
                <w:sz w:val="20"/>
                <w:szCs w:val="20"/>
              </w:rPr>
              <w:t xml:space="preserve">See </w:t>
            </w:r>
            <w:hyperlink r:id="rId52">
              <w:r>
                <w:rPr>
                  <w:color w:val="0000FF"/>
                  <w:sz w:val="20"/>
                  <w:szCs w:val="20"/>
                  <w:u w:val="single"/>
                </w:rPr>
                <w:t>decision tree</w:t>
              </w:r>
            </w:hyperlink>
            <w:r>
              <w:rPr>
                <w:sz w:val="20"/>
                <w:szCs w:val="20"/>
              </w:rPr>
              <w:t xml:space="preserve"> for additional guidance</w:t>
            </w:r>
          </w:p>
        </w:tc>
        <w:tc>
          <w:tcPr>
            <w:tcW w:w="2520" w:type="dxa"/>
          </w:tcPr>
          <w:p w14:paraId="46EABDD5" w14:textId="64957CA3" w:rsidR="005C4629" w:rsidRDefault="005727E3" w:rsidP="00257E21">
            <w:pPr>
              <w:numPr>
                <w:ilvl w:val="0"/>
                <w:numId w:val="28"/>
              </w:numPr>
              <w:ind w:left="211" w:hanging="211"/>
              <w:rPr>
                <w:sz w:val="20"/>
                <w:szCs w:val="20"/>
              </w:rPr>
            </w:pPr>
            <w:r>
              <w:rPr>
                <w:sz w:val="20"/>
                <w:szCs w:val="20"/>
              </w:rPr>
              <w:t xml:space="preserve">  </w:t>
            </w:r>
            <w:r w:rsidR="005C4629">
              <w:rPr>
                <w:sz w:val="20"/>
                <w:szCs w:val="20"/>
              </w:rPr>
              <w:t>Initial Review</w:t>
            </w:r>
          </w:p>
          <w:p w14:paraId="3AA7AFF9" w14:textId="36816DD8" w:rsidR="005C4629" w:rsidRDefault="005C4629" w:rsidP="00257E21">
            <w:pPr>
              <w:numPr>
                <w:ilvl w:val="0"/>
                <w:numId w:val="25"/>
              </w:numPr>
              <w:pBdr>
                <w:top w:val="nil"/>
                <w:left w:val="nil"/>
                <w:bottom w:val="nil"/>
                <w:right w:val="nil"/>
                <w:between w:val="nil"/>
              </w:pBdr>
              <w:ind w:left="275" w:hanging="275"/>
              <w:rPr>
                <w:color w:val="000000"/>
                <w:sz w:val="20"/>
                <w:szCs w:val="20"/>
              </w:rPr>
            </w:pPr>
            <w:r>
              <w:rPr>
                <w:sz w:val="20"/>
                <w:szCs w:val="20"/>
              </w:rPr>
              <w:t xml:space="preserve">Note: when applicable, an Oncore Calendar must be submitted to Fairview for review. </w:t>
            </w:r>
          </w:p>
        </w:tc>
        <w:tc>
          <w:tcPr>
            <w:tcW w:w="2070" w:type="dxa"/>
          </w:tcPr>
          <w:p w14:paraId="1E5FCCAA" w14:textId="77777777" w:rsidR="005C4629" w:rsidRPr="003A65B1" w:rsidRDefault="005C4629" w:rsidP="00257E21">
            <w:pPr>
              <w:rPr>
                <w:sz w:val="20"/>
                <w:szCs w:val="20"/>
                <w:lang w:val="fr-FR"/>
              </w:rPr>
            </w:pPr>
            <w:r w:rsidRPr="003A65B1">
              <w:rPr>
                <w:sz w:val="20"/>
                <w:szCs w:val="20"/>
                <w:lang w:val="fr-FR"/>
              </w:rPr>
              <w:t>OnCore Team</w:t>
            </w:r>
          </w:p>
          <w:p w14:paraId="5C3B5D63" w14:textId="77777777" w:rsidR="005C4629" w:rsidRPr="001733B4" w:rsidRDefault="00A31BFA" w:rsidP="00257E21">
            <w:pPr>
              <w:rPr>
                <w:color w:val="0432FF"/>
                <w:sz w:val="20"/>
                <w:szCs w:val="20"/>
                <w:lang w:val="fr-FR"/>
              </w:rPr>
            </w:pPr>
            <w:hyperlink r:id="rId53">
              <w:r w:rsidR="005C4629" w:rsidRPr="001733B4">
                <w:rPr>
                  <w:color w:val="0432FF"/>
                  <w:sz w:val="20"/>
                  <w:szCs w:val="20"/>
                  <w:u w:val="single"/>
                  <w:lang w:val="fr-FR"/>
                </w:rPr>
                <w:t>oncore@umn.edu</w:t>
              </w:r>
            </w:hyperlink>
            <w:r w:rsidR="005C4629" w:rsidRPr="001733B4">
              <w:rPr>
                <w:color w:val="0432FF"/>
                <w:sz w:val="20"/>
                <w:szCs w:val="20"/>
                <w:lang w:val="fr-FR"/>
              </w:rPr>
              <w:t xml:space="preserve"> </w:t>
            </w:r>
          </w:p>
          <w:p w14:paraId="4E16C04B" w14:textId="6C7A91AD" w:rsidR="005C4629" w:rsidRDefault="005C4629" w:rsidP="00257E21">
            <w:pPr>
              <w:rPr>
                <w:sz w:val="20"/>
                <w:szCs w:val="20"/>
              </w:rPr>
            </w:pPr>
            <w:r w:rsidRPr="003A65B1">
              <w:rPr>
                <w:sz w:val="20"/>
                <w:szCs w:val="20"/>
                <w:lang w:val="fr-FR"/>
              </w:rPr>
              <w:t>612-626-3080</w:t>
            </w:r>
          </w:p>
        </w:tc>
        <w:tc>
          <w:tcPr>
            <w:tcW w:w="1620" w:type="dxa"/>
          </w:tcPr>
          <w:p w14:paraId="35339D93" w14:textId="77777777" w:rsidR="005C4629" w:rsidRDefault="005C4629" w:rsidP="00257E21">
            <w:pPr>
              <w:rPr>
                <w:sz w:val="20"/>
                <w:szCs w:val="20"/>
              </w:rPr>
            </w:pPr>
            <w:r>
              <w:rPr>
                <w:sz w:val="20"/>
                <w:szCs w:val="20"/>
              </w:rPr>
              <w:t xml:space="preserve">Completed via ancillary review in ETHOS. This is a collaboration between the IRB and OnCore to ensure OnCore compliance.  For more information about </w:t>
            </w:r>
          </w:p>
          <w:p w14:paraId="1830D078" w14:textId="77777777" w:rsidR="005C4629" w:rsidRDefault="005C4629" w:rsidP="00257E21">
            <w:pPr>
              <w:rPr>
                <w:sz w:val="20"/>
                <w:szCs w:val="20"/>
              </w:rPr>
            </w:pPr>
          </w:p>
          <w:p w14:paraId="59DBD91B" w14:textId="23BA4AAF" w:rsidR="005C4629" w:rsidRDefault="005C4629" w:rsidP="00257E21">
            <w:pPr>
              <w:rPr>
                <w:sz w:val="20"/>
                <w:szCs w:val="20"/>
              </w:rPr>
            </w:pPr>
            <w:r>
              <w:rPr>
                <w:color w:val="FF0000"/>
                <w:sz w:val="20"/>
                <w:szCs w:val="20"/>
              </w:rPr>
              <w:t>Gillette excluded</w:t>
            </w:r>
          </w:p>
        </w:tc>
        <w:tc>
          <w:tcPr>
            <w:tcW w:w="2155" w:type="dxa"/>
          </w:tcPr>
          <w:p w14:paraId="3CCFF32A" w14:textId="77777777" w:rsidR="005C4629" w:rsidRDefault="005C4629" w:rsidP="00257E21">
            <w:pPr>
              <w:rPr>
                <w:sz w:val="20"/>
                <w:szCs w:val="20"/>
              </w:rPr>
            </w:pPr>
            <w:r>
              <w:rPr>
                <w:sz w:val="20"/>
                <w:szCs w:val="20"/>
              </w:rPr>
              <w:t>Does not affect IRB approval</w:t>
            </w:r>
          </w:p>
          <w:p w14:paraId="6224D52C" w14:textId="10B07910" w:rsidR="005C4629" w:rsidRDefault="005C4629" w:rsidP="00257E21">
            <w:pPr>
              <w:rPr>
                <w:sz w:val="20"/>
                <w:szCs w:val="20"/>
              </w:rPr>
            </w:pPr>
            <w:r>
              <w:rPr>
                <w:sz w:val="20"/>
                <w:szCs w:val="20"/>
              </w:rPr>
              <w:t>Studies determined by IRB review to be Exempt do not require registration Oncore</w:t>
            </w:r>
          </w:p>
        </w:tc>
      </w:tr>
      <w:tr w:rsidR="00257E21" w14:paraId="7E10CF03" w14:textId="77777777" w:rsidTr="005727E3">
        <w:trPr>
          <w:cantSplit/>
        </w:trPr>
        <w:tc>
          <w:tcPr>
            <w:tcW w:w="1615" w:type="dxa"/>
          </w:tcPr>
          <w:p w14:paraId="073F4DEB" w14:textId="6E0F853D" w:rsidR="005C4629" w:rsidRPr="00627DB4" w:rsidRDefault="00A31BFA" w:rsidP="00257E21">
            <w:hyperlink r:id="rId54">
              <w:r w:rsidR="005C4629" w:rsidRPr="00627DB4">
                <w:rPr>
                  <w:color w:val="0000FF"/>
                  <w:u w:val="single"/>
                </w:rPr>
                <w:t>Community- University Health Care Center</w:t>
              </w:r>
            </w:hyperlink>
          </w:p>
        </w:tc>
        <w:tc>
          <w:tcPr>
            <w:tcW w:w="1620" w:type="dxa"/>
          </w:tcPr>
          <w:p w14:paraId="229CDF47" w14:textId="64775BF6" w:rsidR="005C4629" w:rsidRDefault="005C4629" w:rsidP="00257E21">
            <w:pPr>
              <w:rPr>
                <w:sz w:val="20"/>
                <w:szCs w:val="20"/>
              </w:rPr>
            </w:pPr>
            <w:r>
              <w:rPr>
                <w:sz w:val="20"/>
                <w:szCs w:val="20"/>
              </w:rPr>
              <w:t>CUCHCC</w:t>
            </w:r>
          </w:p>
        </w:tc>
        <w:tc>
          <w:tcPr>
            <w:tcW w:w="2790" w:type="dxa"/>
          </w:tcPr>
          <w:p w14:paraId="772E7564" w14:textId="520FCE4C" w:rsidR="005C4629" w:rsidRDefault="005C4629" w:rsidP="00257E21">
            <w:pPr>
              <w:rPr>
                <w:sz w:val="20"/>
                <w:szCs w:val="20"/>
              </w:rPr>
            </w:pPr>
            <w:r>
              <w:rPr>
                <w:sz w:val="20"/>
                <w:szCs w:val="20"/>
              </w:rPr>
              <w:t>When “CUHCC – Community-University Health Care Center” is selected as a research location</w:t>
            </w:r>
          </w:p>
        </w:tc>
        <w:tc>
          <w:tcPr>
            <w:tcW w:w="2520" w:type="dxa"/>
          </w:tcPr>
          <w:p w14:paraId="4C5A6BEC" w14:textId="436A22F5" w:rsidR="005C4629" w:rsidRDefault="005C4629" w:rsidP="00257E21">
            <w:pPr>
              <w:numPr>
                <w:ilvl w:val="0"/>
                <w:numId w:val="25"/>
              </w:numPr>
              <w:pBdr>
                <w:top w:val="nil"/>
                <w:left w:val="nil"/>
                <w:bottom w:val="nil"/>
                <w:right w:val="nil"/>
                <w:between w:val="nil"/>
              </w:pBdr>
              <w:ind w:left="275" w:hanging="275"/>
              <w:rPr>
                <w:color w:val="000000"/>
                <w:sz w:val="20"/>
                <w:szCs w:val="20"/>
              </w:rPr>
            </w:pPr>
            <w:r>
              <w:rPr>
                <w:sz w:val="20"/>
                <w:szCs w:val="20"/>
              </w:rPr>
              <w:t>Initial review or modifications that add CUHCC as a site</w:t>
            </w:r>
          </w:p>
        </w:tc>
        <w:tc>
          <w:tcPr>
            <w:tcW w:w="2070" w:type="dxa"/>
          </w:tcPr>
          <w:p w14:paraId="59CBF9AD" w14:textId="77777777" w:rsidR="005C4629" w:rsidRDefault="005C4629" w:rsidP="00257E21">
            <w:pPr>
              <w:rPr>
                <w:sz w:val="20"/>
                <w:szCs w:val="20"/>
              </w:rPr>
            </w:pPr>
            <w:r>
              <w:rPr>
                <w:sz w:val="20"/>
                <w:szCs w:val="20"/>
              </w:rPr>
              <w:t>Heather Ogren</w:t>
            </w:r>
          </w:p>
          <w:p w14:paraId="0136588A" w14:textId="77777777" w:rsidR="005C4629" w:rsidRDefault="00A31BFA" w:rsidP="00257E21">
            <w:pPr>
              <w:rPr>
                <w:sz w:val="20"/>
                <w:szCs w:val="20"/>
              </w:rPr>
            </w:pPr>
            <w:hyperlink r:id="rId55">
              <w:r w:rsidR="005C4629">
                <w:rPr>
                  <w:color w:val="0000FF"/>
                  <w:sz w:val="20"/>
                  <w:szCs w:val="20"/>
                  <w:u w:val="single"/>
                </w:rPr>
                <w:t>hlogren@uumn.edu</w:t>
              </w:r>
            </w:hyperlink>
          </w:p>
          <w:p w14:paraId="43EB1A78" w14:textId="77777777" w:rsidR="005C4629" w:rsidRDefault="005C4629" w:rsidP="00257E21">
            <w:pPr>
              <w:rPr>
                <w:sz w:val="20"/>
                <w:szCs w:val="20"/>
              </w:rPr>
            </w:pPr>
          </w:p>
        </w:tc>
        <w:tc>
          <w:tcPr>
            <w:tcW w:w="1620" w:type="dxa"/>
          </w:tcPr>
          <w:p w14:paraId="2D63505A" w14:textId="1CEF4ED2" w:rsidR="005C4629" w:rsidRDefault="005C4629" w:rsidP="00257E21">
            <w:pPr>
              <w:rPr>
                <w:sz w:val="20"/>
                <w:szCs w:val="20"/>
              </w:rPr>
            </w:pPr>
            <w:r>
              <w:rPr>
                <w:sz w:val="20"/>
                <w:szCs w:val="20"/>
              </w:rPr>
              <w:t>Via submission of the ancillary review</w:t>
            </w:r>
          </w:p>
        </w:tc>
        <w:tc>
          <w:tcPr>
            <w:tcW w:w="2155" w:type="dxa"/>
          </w:tcPr>
          <w:p w14:paraId="560E4F9B" w14:textId="23AF99F8" w:rsidR="005C4629" w:rsidRDefault="005C4629" w:rsidP="00257E21">
            <w:pPr>
              <w:rPr>
                <w:sz w:val="20"/>
                <w:szCs w:val="20"/>
              </w:rPr>
            </w:pPr>
            <w:r>
              <w:rPr>
                <w:sz w:val="20"/>
                <w:szCs w:val="20"/>
              </w:rPr>
              <w:t>Does not affect IRB approval</w:t>
            </w:r>
          </w:p>
        </w:tc>
      </w:tr>
      <w:tr w:rsidR="00257E21" w14:paraId="19925B70" w14:textId="77777777" w:rsidTr="005727E3">
        <w:trPr>
          <w:cantSplit/>
        </w:trPr>
        <w:tc>
          <w:tcPr>
            <w:tcW w:w="1615" w:type="dxa"/>
          </w:tcPr>
          <w:p w14:paraId="665BAA60" w14:textId="45F116A1" w:rsidR="005C4629" w:rsidRPr="00627DB4" w:rsidRDefault="00A31BFA" w:rsidP="00257E21">
            <w:hyperlink r:id="rId56" w:history="1">
              <w:r w:rsidR="005C4629" w:rsidRPr="00627DB4">
                <w:rPr>
                  <w:rStyle w:val="Hyperlink"/>
                  <w:color w:val="0432FF"/>
                </w:rPr>
                <w:t>UHS-Controlled Substances Program</w:t>
              </w:r>
            </w:hyperlink>
          </w:p>
        </w:tc>
        <w:tc>
          <w:tcPr>
            <w:tcW w:w="1620" w:type="dxa"/>
          </w:tcPr>
          <w:p w14:paraId="65A40049" w14:textId="4CFDFF38" w:rsidR="005C4629" w:rsidRDefault="005C4629" w:rsidP="00257E21">
            <w:pPr>
              <w:rPr>
                <w:sz w:val="20"/>
                <w:szCs w:val="20"/>
              </w:rPr>
            </w:pPr>
            <w:r>
              <w:rPr>
                <w:sz w:val="20"/>
                <w:szCs w:val="20"/>
              </w:rPr>
              <w:t>University Health and Safety Compliance – controlled substances program compliance</w:t>
            </w:r>
          </w:p>
        </w:tc>
        <w:tc>
          <w:tcPr>
            <w:tcW w:w="2790" w:type="dxa"/>
          </w:tcPr>
          <w:p w14:paraId="5FABE16F" w14:textId="4734F44A" w:rsidR="005C4629" w:rsidRDefault="005C4629" w:rsidP="00257E21">
            <w:pPr>
              <w:rPr>
                <w:sz w:val="20"/>
                <w:szCs w:val="20"/>
              </w:rPr>
            </w:pPr>
            <w:r>
              <w:rPr>
                <w:sz w:val="20"/>
                <w:szCs w:val="20"/>
              </w:rPr>
              <w:t>When controlled substances use is indicated in ETHOS or in protocol</w:t>
            </w:r>
          </w:p>
        </w:tc>
        <w:tc>
          <w:tcPr>
            <w:tcW w:w="2520" w:type="dxa"/>
          </w:tcPr>
          <w:p w14:paraId="558C98C4" w14:textId="77777777" w:rsidR="005C4629" w:rsidRDefault="005C4629" w:rsidP="00257E21">
            <w:pPr>
              <w:numPr>
                <w:ilvl w:val="0"/>
                <w:numId w:val="28"/>
              </w:numPr>
              <w:rPr>
                <w:color w:val="000000"/>
                <w:sz w:val="20"/>
                <w:szCs w:val="20"/>
              </w:rPr>
            </w:pPr>
            <w:r>
              <w:rPr>
                <w:color w:val="000000"/>
                <w:sz w:val="20"/>
                <w:szCs w:val="20"/>
              </w:rPr>
              <w:t>Initial Review</w:t>
            </w:r>
          </w:p>
          <w:p w14:paraId="5FF45542" w14:textId="42F75B41" w:rsidR="005C4629" w:rsidRDefault="005727E3" w:rsidP="00257E21">
            <w:pPr>
              <w:numPr>
                <w:ilvl w:val="0"/>
                <w:numId w:val="25"/>
              </w:numPr>
              <w:pBdr>
                <w:top w:val="nil"/>
                <w:left w:val="nil"/>
                <w:bottom w:val="nil"/>
                <w:right w:val="nil"/>
                <w:between w:val="nil"/>
              </w:pBdr>
              <w:ind w:left="275" w:hanging="275"/>
              <w:rPr>
                <w:sz w:val="20"/>
                <w:szCs w:val="20"/>
              </w:rPr>
            </w:pPr>
            <w:r>
              <w:rPr>
                <w:color w:val="000000"/>
                <w:sz w:val="20"/>
                <w:szCs w:val="20"/>
              </w:rPr>
              <w:t xml:space="preserve">  </w:t>
            </w:r>
            <w:r w:rsidR="005C4629">
              <w:rPr>
                <w:color w:val="000000"/>
                <w:sz w:val="20"/>
                <w:szCs w:val="20"/>
              </w:rPr>
              <w:t>Modifications that add controlled substances use</w:t>
            </w:r>
          </w:p>
        </w:tc>
        <w:tc>
          <w:tcPr>
            <w:tcW w:w="2070" w:type="dxa"/>
          </w:tcPr>
          <w:p w14:paraId="20E33D3A" w14:textId="77777777" w:rsidR="005C4629" w:rsidRPr="005F5A0D" w:rsidRDefault="005C4629" w:rsidP="00257E21">
            <w:pPr>
              <w:rPr>
                <w:sz w:val="20"/>
                <w:szCs w:val="20"/>
              </w:rPr>
            </w:pPr>
            <w:r w:rsidRPr="005F5A0D">
              <w:rPr>
                <w:sz w:val="20"/>
                <w:szCs w:val="20"/>
              </w:rPr>
              <w:t>Controlled Substances Program</w:t>
            </w:r>
          </w:p>
          <w:p w14:paraId="48B0962A" w14:textId="77777777" w:rsidR="005C4629" w:rsidRPr="001733B4" w:rsidRDefault="00A31BFA" w:rsidP="00257E21">
            <w:pPr>
              <w:rPr>
                <w:color w:val="0432FF"/>
                <w:sz w:val="20"/>
                <w:szCs w:val="20"/>
                <w:u w:val="single"/>
              </w:rPr>
            </w:pPr>
            <w:hyperlink r:id="rId57" w:history="1">
              <w:r w:rsidR="005C4629" w:rsidRPr="001733B4">
                <w:rPr>
                  <w:rStyle w:val="Hyperlink"/>
                  <w:color w:val="0432FF"/>
                  <w:sz w:val="20"/>
                  <w:szCs w:val="20"/>
                </w:rPr>
                <w:t>cshelp@umn.edu</w:t>
              </w:r>
            </w:hyperlink>
          </w:p>
          <w:p w14:paraId="3B77C16F" w14:textId="397D96A9" w:rsidR="005C4629" w:rsidRDefault="005C4629" w:rsidP="00257E21">
            <w:pPr>
              <w:rPr>
                <w:sz w:val="20"/>
                <w:szCs w:val="20"/>
              </w:rPr>
            </w:pPr>
            <w:r w:rsidRPr="005F5A0D">
              <w:rPr>
                <w:sz w:val="20"/>
                <w:szCs w:val="20"/>
              </w:rPr>
              <w:t>612-625-7227</w:t>
            </w:r>
          </w:p>
        </w:tc>
        <w:tc>
          <w:tcPr>
            <w:tcW w:w="1620" w:type="dxa"/>
          </w:tcPr>
          <w:p w14:paraId="7C448DD9" w14:textId="22099D39" w:rsidR="005C4629" w:rsidRDefault="005C4629" w:rsidP="00257E21">
            <w:pPr>
              <w:rPr>
                <w:sz w:val="20"/>
                <w:szCs w:val="20"/>
              </w:rPr>
            </w:pPr>
            <w:r>
              <w:rPr>
                <w:sz w:val="20"/>
                <w:szCs w:val="20"/>
              </w:rPr>
              <w:t>Through assignment of ancillary review. May be assigned by either the researcher or IRB analyst.</w:t>
            </w:r>
          </w:p>
        </w:tc>
        <w:tc>
          <w:tcPr>
            <w:tcW w:w="2155" w:type="dxa"/>
          </w:tcPr>
          <w:p w14:paraId="6D02A575" w14:textId="65E166A7" w:rsidR="005C4629" w:rsidRDefault="005C4629" w:rsidP="00257E21">
            <w:pPr>
              <w:rPr>
                <w:sz w:val="20"/>
                <w:szCs w:val="20"/>
              </w:rPr>
            </w:pPr>
            <w:r>
              <w:rPr>
                <w:sz w:val="20"/>
                <w:szCs w:val="20"/>
              </w:rPr>
              <w:t xml:space="preserve">Must be completed prior to final IRB approval. </w:t>
            </w:r>
          </w:p>
        </w:tc>
      </w:tr>
      <w:tr w:rsidR="00257E21" w14:paraId="727AE5A3" w14:textId="77777777" w:rsidTr="005727E3">
        <w:trPr>
          <w:cantSplit/>
        </w:trPr>
        <w:tc>
          <w:tcPr>
            <w:tcW w:w="1615" w:type="dxa"/>
          </w:tcPr>
          <w:p w14:paraId="36CECCDA" w14:textId="41432F9C" w:rsidR="005C4629" w:rsidRPr="00627DB4" w:rsidRDefault="005C4629" w:rsidP="00257E21">
            <w:r w:rsidRPr="00627DB4">
              <w:t>Office of Native American Affairs</w:t>
            </w:r>
          </w:p>
        </w:tc>
        <w:tc>
          <w:tcPr>
            <w:tcW w:w="1620" w:type="dxa"/>
          </w:tcPr>
          <w:p w14:paraId="36959B0A" w14:textId="498650F5" w:rsidR="005C4629" w:rsidRDefault="005C4629" w:rsidP="00257E21">
            <w:pPr>
              <w:rPr>
                <w:sz w:val="20"/>
                <w:szCs w:val="20"/>
              </w:rPr>
            </w:pPr>
            <w:r>
              <w:rPr>
                <w:sz w:val="20"/>
                <w:szCs w:val="20"/>
              </w:rPr>
              <w:t>Provided to create awareness of research projects and to provide consultation when requested by the IRB</w:t>
            </w:r>
          </w:p>
        </w:tc>
        <w:tc>
          <w:tcPr>
            <w:tcW w:w="2790" w:type="dxa"/>
          </w:tcPr>
          <w:p w14:paraId="2469B24A" w14:textId="40DCA650" w:rsidR="005C4629" w:rsidRDefault="005C4629" w:rsidP="00257E21">
            <w:pPr>
              <w:rPr>
                <w:sz w:val="20"/>
                <w:szCs w:val="20"/>
              </w:rPr>
            </w:pPr>
            <w:r>
              <w:rPr>
                <w:sz w:val="20"/>
                <w:szCs w:val="20"/>
              </w:rPr>
              <w:t xml:space="preserve">When research is conducted with Tribal partners, Tribal communities, Tribal-serving institutions, Indigenous Peoples, </w:t>
            </w:r>
            <w:proofErr w:type="gramStart"/>
            <w:r>
              <w:rPr>
                <w:sz w:val="20"/>
                <w:szCs w:val="20"/>
              </w:rPr>
              <w:t>places</w:t>
            </w:r>
            <w:proofErr w:type="gramEnd"/>
            <w:r>
              <w:rPr>
                <w:sz w:val="20"/>
                <w:szCs w:val="20"/>
              </w:rPr>
              <w:t xml:space="preserve"> and objects of cultural significance.</w:t>
            </w:r>
          </w:p>
        </w:tc>
        <w:tc>
          <w:tcPr>
            <w:tcW w:w="2520" w:type="dxa"/>
          </w:tcPr>
          <w:p w14:paraId="6BE526B3" w14:textId="77777777" w:rsidR="005C4629" w:rsidRDefault="005C4629" w:rsidP="005727E3">
            <w:pPr>
              <w:numPr>
                <w:ilvl w:val="0"/>
                <w:numId w:val="28"/>
              </w:numPr>
              <w:rPr>
                <w:color w:val="000000"/>
                <w:sz w:val="20"/>
                <w:szCs w:val="20"/>
              </w:rPr>
            </w:pPr>
            <w:r>
              <w:rPr>
                <w:color w:val="000000"/>
                <w:sz w:val="20"/>
                <w:szCs w:val="20"/>
              </w:rPr>
              <w:t>Initial Application</w:t>
            </w:r>
          </w:p>
          <w:p w14:paraId="510A807C" w14:textId="77777777" w:rsidR="005C4629" w:rsidRDefault="005C4629" w:rsidP="005727E3">
            <w:pPr>
              <w:numPr>
                <w:ilvl w:val="0"/>
                <w:numId w:val="28"/>
              </w:numPr>
              <w:rPr>
                <w:color w:val="000000"/>
                <w:sz w:val="20"/>
                <w:szCs w:val="20"/>
              </w:rPr>
            </w:pPr>
            <w:r>
              <w:rPr>
                <w:color w:val="000000"/>
                <w:sz w:val="20"/>
                <w:szCs w:val="20"/>
              </w:rPr>
              <w:t>Modifications that request new inclusion criteria</w:t>
            </w:r>
          </w:p>
          <w:p w14:paraId="05E98AB1" w14:textId="38B9978A" w:rsidR="005C4629" w:rsidRDefault="005727E3" w:rsidP="005727E3">
            <w:pPr>
              <w:numPr>
                <w:ilvl w:val="0"/>
                <w:numId w:val="25"/>
              </w:numPr>
              <w:pBdr>
                <w:top w:val="nil"/>
                <w:left w:val="nil"/>
                <w:bottom w:val="nil"/>
                <w:right w:val="nil"/>
                <w:between w:val="nil"/>
              </w:pBdr>
              <w:ind w:left="275" w:hanging="275"/>
              <w:rPr>
                <w:sz w:val="20"/>
                <w:szCs w:val="20"/>
              </w:rPr>
            </w:pPr>
            <w:r>
              <w:rPr>
                <w:color w:val="000000"/>
                <w:sz w:val="20"/>
                <w:szCs w:val="20"/>
              </w:rPr>
              <w:t xml:space="preserve">  </w:t>
            </w:r>
            <w:r w:rsidR="005C4629">
              <w:rPr>
                <w:color w:val="000000"/>
                <w:sz w:val="20"/>
                <w:szCs w:val="20"/>
              </w:rPr>
              <w:t>RNIs</w:t>
            </w:r>
          </w:p>
        </w:tc>
        <w:tc>
          <w:tcPr>
            <w:tcW w:w="2070" w:type="dxa"/>
          </w:tcPr>
          <w:p w14:paraId="6B7A588D" w14:textId="040DB0B9" w:rsidR="005C4629" w:rsidRDefault="005C4629" w:rsidP="00257E21">
            <w:pPr>
              <w:rPr>
                <w:sz w:val="20"/>
                <w:szCs w:val="20"/>
              </w:rPr>
            </w:pPr>
            <w:r>
              <w:rPr>
                <w:sz w:val="20"/>
                <w:szCs w:val="20"/>
              </w:rPr>
              <w:t xml:space="preserve"> </w:t>
            </w:r>
            <w:hyperlink r:id="rId58" w:history="1">
              <w:r w:rsidRPr="00FF5221">
                <w:rPr>
                  <w:rStyle w:val="Hyperlink"/>
                  <w:sz w:val="20"/>
                  <w:szCs w:val="20"/>
                </w:rPr>
                <w:t>Ofice of Native American Affairs</w:t>
              </w:r>
            </w:hyperlink>
          </w:p>
        </w:tc>
        <w:tc>
          <w:tcPr>
            <w:tcW w:w="1620" w:type="dxa"/>
          </w:tcPr>
          <w:p w14:paraId="4FA41886" w14:textId="1C4164ED" w:rsidR="005C4629" w:rsidRDefault="005C4629" w:rsidP="00257E21">
            <w:pPr>
              <w:rPr>
                <w:sz w:val="20"/>
                <w:szCs w:val="20"/>
              </w:rPr>
            </w:pPr>
            <w:r>
              <w:rPr>
                <w:sz w:val="20"/>
                <w:szCs w:val="20"/>
              </w:rPr>
              <w:t>By request of the IRB</w:t>
            </w:r>
          </w:p>
        </w:tc>
        <w:tc>
          <w:tcPr>
            <w:tcW w:w="2155" w:type="dxa"/>
          </w:tcPr>
          <w:p w14:paraId="654DBDE5" w14:textId="13C9A906" w:rsidR="005C4629" w:rsidRDefault="005C4629" w:rsidP="00257E21">
            <w:pPr>
              <w:rPr>
                <w:sz w:val="20"/>
                <w:szCs w:val="20"/>
              </w:rPr>
            </w:pPr>
            <w:r>
              <w:rPr>
                <w:sz w:val="20"/>
                <w:szCs w:val="20"/>
              </w:rPr>
              <w:t xml:space="preserve">In most instances this ancillary review </w:t>
            </w:r>
            <w:proofErr w:type="gramStart"/>
            <w:r>
              <w:rPr>
                <w:sz w:val="20"/>
                <w:szCs w:val="20"/>
              </w:rPr>
              <w:t>will  not</w:t>
            </w:r>
            <w:proofErr w:type="gramEnd"/>
            <w:r>
              <w:rPr>
                <w:sz w:val="20"/>
                <w:szCs w:val="20"/>
              </w:rPr>
              <w:t xml:space="preserve"> impact IRB review or approval </w:t>
            </w:r>
          </w:p>
        </w:tc>
      </w:tr>
      <w:tr w:rsidR="00257E21" w14:paraId="1DB82006" w14:textId="77777777" w:rsidTr="005727E3">
        <w:trPr>
          <w:cantSplit/>
        </w:trPr>
        <w:tc>
          <w:tcPr>
            <w:tcW w:w="1615" w:type="dxa"/>
          </w:tcPr>
          <w:p w14:paraId="3EBFB6A9" w14:textId="07D29D99" w:rsidR="005C4629" w:rsidRPr="00627DB4" w:rsidRDefault="005C4629" w:rsidP="00257E21">
            <w:pPr>
              <w:tabs>
                <w:tab w:val="left" w:pos="688"/>
              </w:tabs>
            </w:pPr>
            <w:r w:rsidRPr="00627DB4">
              <w:lastRenderedPageBreak/>
              <w:t>eConsent via REDCap</w:t>
            </w:r>
          </w:p>
        </w:tc>
        <w:tc>
          <w:tcPr>
            <w:tcW w:w="1620" w:type="dxa"/>
          </w:tcPr>
          <w:p w14:paraId="5BCF4AA2" w14:textId="35F4A0B1" w:rsidR="005C4629" w:rsidRDefault="005C4629" w:rsidP="00257E21">
            <w:pPr>
              <w:rPr>
                <w:sz w:val="20"/>
                <w:szCs w:val="20"/>
              </w:rPr>
            </w:pPr>
            <w:r>
              <w:rPr>
                <w:sz w:val="20"/>
                <w:szCs w:val="20"/>
              </w:rPr>
              <w:t>Confirmation of IRB approval prior to moving eConsent to production in REDCap</w:t>
            </w:r>
          </w:p>
        </w:tc>
        <w:tc>
          <w:tcPr>
            <w:tcW w:w="2790" w:type="dxa"/>
          </w:tcPr>
          <w:p w14:paraId="3A6F0F81" w14:textId="04C5834A" w:rsidR="005C4629" w:rsidRDefault="005C4629" w:rsidP="00257E21">
            <w:pPr>
              <w:rPr>
                <w:sz w:val="20"/>
                <w:szCs w:val="20"/>
              </w:rPr>
            </w:pPr>
            <w:r>
              <w:rPr>
                <w:sz w:val="20"/>
                <w:szCs w:val="20"/>
              </w:rPr>
              <w:t>When protocol indicates use of eConsent via REDCap</w:t>
            </w:r>
          </w:p>
        </w:tc>
        <w:tc>
          <w:tcPr>
            <w:tcW w:w="2520" w:type="dxa"/>
          </w:tcPr>
          <w:p w14:paraId="51B29BDB" w14:textId="284A7152" w:rsidR="005C4629" w:rsidRDefault="005C4629" w:rsidP="00257E21">
            <w:pPr>
              <w:numPr>
                <w:ilvl w:val="0"/>
                <w:numId w:val="25"/>
              </w:numPr>
              <w:pBdr>
                <w:top w:val="nil"/>
                <w:left w:val="nil"/>
                <w:bottom w:val="nil"/>
                <w:right w:val="nil"/>
                <w:between w:val="nil"/>
              </w:pBdr>
              <w:ind w:left="275" w:hanging="275"/>
              <w:rPr>
                <w:sz w:val="20"/>
                <w:szCs w:val="20"/>
              </w:rPr>
            </w:pPr>
            <w:r>
              <w:rPr>
                <w:color w:val="000000"/>
                <w:sz w:val="20"/>
                <w:szCs w:val="20"/>
              </w:rPr>
              <w:t>Initial review or modifications that request use of eConsent</w:t>
            </w:r>
          </w:p>
        </w:tc>
        <w:tc>
          <w:tcPr>
            <w:tcW w:w="2070" w:type="dxa"/>
          </w:tcPr>
          <w:p w14:paraId="4AEA1C8C" w14:textId="77777777" w:rsidR="005C4629" w:rsidRDefault="005C4629" w:rsidP="00257E21">
            <w:pPr>
              <w:rPr>
                <w:sz w:val="20"/>
                <w:szCs w:val="20"/>
              </w:rPr>
            </w:pPr>
            <w:r>
              <w:rPr>
                <w:sz w:val="20"/>
                <w:szCs w:val="20"/>
              </w:rPr>
              <w:t>CTSI REDCap</w:t>
            </w:r>
          </w:p>
          <w:p w14:paraId="125604D3" w14:textId="77777777" w:rsidR="005C4629" w:rsidRDefault="00A31BFA" w:rsidP="00257E21">
            <w:pPr>
              <w:rPr>
                <w:sz w:val="20"/>
                <w:szCs w:val="20"/>
              </w:rPr>
            </w:pPr>
            <w:hyperlink r:id="rId59" w:history="1">
              <w:r w:rsidR="005C4629" w:rsidRPr="00044F76">
                <w:rPr>
                  <w:rStyle w:val="Hyperlink"/>
                  <w:sz w:val="20"/>
                  <w:szCs w:val="20"/>
                </w:rPr>
                <w:t>redcap@umn.edu</w:t>
              </w:r>
            </w:hyperlink>
          </w:p>
          <w:p w14:paraId="0903BD97" w14:textId="77777777" w:rsidR="005C4629" w:rsidRDefault="005C4629" w:rsidP="00257E21">
            <w:pPr>
              <w:rPr>
                <w:sz w:val="20"/>
                <w:szCs w:val="20"/>
              </w:rPr>
            </w:pPr>
            <w:r>
              <w:rPr>
                <w:sz w:val="20"/>
                <w:szCs w:val="20"/>
              </w:rPr>
              <w:t xml:space="preserve">See </w:t>
            </w:r>
            <w:hyperlink r:id="rId60" w:history="1">
              <w:r w:rsidRPr="00C2133F">
                <w:rPr>
                  <w:rStyle w:val="Hyperlink"/>
                  <w:sz w:val="20"/>
                  <w:szCs w:val="20"/>
                </w:rPr>
                <w:t>How to Use REDCap eConsent</w:t>
              </w:r>
            </w:hyperlink>
          </w:p>
          <w:p w14:paraId="4C121226" w14:textId="77777777" w:rsidR="005C4629" w:rsidRDefault="005C4629" w:rsidP="00257E21">
            <w:pPr>
              <w:rPr>
                <w:sz w:val="20"/>
                <w:szCs w:val="20"/>
              </w:rPr>
            </w:pPr>
          </w:p>
        </w:tc>
        <w:tc>
          <w:tcPr>
            <w:tcW w:w="1620" w:type="dxa"/>
          </w:tcPr>
          <w:p w14:paraId="6C4F23BA" w14:textId="6F8D0067" w:rsidR="005C4629" w:rsidRDefault="005C4629" w:rsidP="00257E21">
            <w:pPr>
              <w:rPr>
                <w:sz w:val="20"/>
                <w:szCs w:val="20"/>
              </w:rPr>
            </w:pPr>
            <w:r>
              <w:rPr>
                <w:sz w:val="20"/>
                <w:szCs w:val="20"/>
              </w:rPr>
              <w:t>Through request to move an eConsent project in REDCap to production</w:t>
            </w:r>
          </w:p>
        </w:tc>
        <w:tc>
          <w:tcPr>
            <w:tcW w:w="2155" w:type="dxa"/>
          </w:tcPr>
          <w:p w14:paraId="331A944D" w14:textId="0F555240" w:rsidR="005C4629" w:rsidRDefault="005C4629" w:rsidP="00257E21">
            <w:pPr>
              <w:rPr>
                <w:sz w:val="20"/>
                <w:szCs w:val="20"/>
              </w:rPr>
            </w:pPr>
            <w:r>
              <w:rPr>
                <w:sz w:val="20"/>
                <w:szCs w:val="20"/>
              </w:rPr>
              <w:t>Does not impact IRB approval – no response required from REDCap</w:t>
            </w:r>
          </w:p>
        </w:tc>
      </w:tr>
    </w:tbl>
    <w:p w14:paraId="6DAEDF0F" w14:textId="1C66276D" w:rsidR="00B636C8" w:rsidRPr="002E1B18" w:rsidRDefault="00B636C8" w:rsidP="002E1B18">
      <w:pPr>
        <w:pStyle w:val="DocumentTitle-HCG"/>
        <w:jc w:val="left"/>
        <w:rPr>
          <w:rFonts w:eastAsia="Calibri"/>
          <w:sz w:val="22"/>
          <w:szCs w:val="22"/>
        </w:rPr>
      </w:pPr>
    </w:p>
    <w:sectPr w:rsidR="00B636C8" w:rsidRPr="002E1B18">
      <w:headerReference w:type="default" r:id="rId61"/>
      <w:footerReference w:type="default" r:id="rId62"/>
      <w:headerReference w:type="first" r:id="rId63"/>
      <w:footerReference w:type="first" r:id="rId64"/>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D7517" w14:textId="77777777" w:rsidR="00B344B6" w:rsidRDefault="00B344B6" w:rsidP="00855EE6">
      <w:pPr>
        <w:spacing w:after="0" w:line="240" w:lineRule="auto"/>
      </w:pPr>
      <w:r>
        <w:separator/>
      </w:r>
    </w:p>
  </w:endnote>
  <w:endnote w:type="continuationSeparator" w:id="0">
    <w:p w14:paraId="09ED2B3D" w14:textId="77777777" w:rsidR="00B344B6" w:rsidRDefault="00B344B6" w:rsidP="00855EE6">
      <w:pPr>
        <w:spacing w:after="0" w:line="240" w:lineRule="auto"/>
      </w:pPr>
      <w:r>
        <w:continuationSeparator/>
      </w:r>
    </w:p>
  </w:endnote>
  <w:endnote w:type="continuationNotice" w:id="1">
    <w:p w14:paraId="2C2FF7A4" w14:textId="77777777" w:rsidR="00B344B6" w:rsidRDefault="00B344B6">
      <w:pPr>
        <w:spacing w:after="0" w:line="240" w:lineRule="auto"/>
      </w:pPr>
    </w:p>
  </w:endnote>
  <w:endnote w:id="2">
    <w:p w14:paraId="47EF92D6" w14:textId="77777777" w:rsidR="00B636C8" w:rsidRDefault="00C57EE0">
      <w:pPr>
        <w:pStyle w:val="EndnoteText"/>
      </w:pPr>
      <w:r>
        <w:rPr>
          <w:rStyle w:val="EndnoteReference"/>
        </w:rPr>
        <w:endnoteRef/>
      </w:r>
      <w:r>
        <w:t xml:space="preserve"> If the requirement for an ancillary review differs for studies relying on an external IRB, indicate the differences in this table. </w:t>
      </w:r>
    </w:p>
  </w:endnote>
  <w:endnote w:id="3">
    <w:p w14:paraId="715F5FC7" w14:textId="445F22D6" w:rsidR="002E1B18" w:rsidRDefault="002E1B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4CF71" w14:textId="77777777" w:rsidR="00B636C8" w:rsidRDefault="00C57EE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0873CD1A" w14:textId="18138F8C" w:rsidR="00B636C8" w:rsidRDefault="00C57EE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10E7AA11" w14:textId="2E144E11" w:rsidR="00B636C8" w:rsidRDefault="00C57EE0">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2EEE8ACB" w14:textId="77777777" w:rsidR="00B636C8" w:rsidRDefault="00C57EE0">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B346E" w14:textId="77777777" w:rsidR="00B636C8" w:rsidRDefault="00C57EE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8F36107" w14:textId="0F852A37" w:rsidR="00B636C8" w:rsidRDefault="00C57EE0">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0F0AE592" w14:textId="77777777" w:rsidR="00B636C8" w:rsidRDefault="00C57EE0">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3015DC5F" w14:textId="77777777" w:rsidR="00B636C8" w:rsidRDefault="00C57EE0">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CC336" w14:textId="77777777" w:rsidR="00B344B6" w:rsidRDefault="00B344B6" w:rsidP="00855EE6">
      <w:pPr>
        <w:spacing w:after="0" w:line="240" w:lineRule="auto"/>
      </w:pPr>
      <w:r>
        <w:separator/>
      </w:r>
    </w:p>
  </w:footnote>
  <w:footnote w:type="continuationSeparator" w:id="0">
    <w:p w14:paraId="1248F6CC" w14:textId="77777777" w:rsidR="00B344B6" w:rsidRDefault="00B344B6" w:rsidP="00855EE6">
      <w:pPr>
        <w:spacing w:after="0" w:line="240" w:lineRule="auto"/>
      </w:pPr>
      <w:r>
        <w:continuationSeparator/>
      </w:r>
    </w:p>
  </w:footnote>
  <w:footnote w:type="continuationNotice" w:id="1">
    <w:p w14:paraId="2C141FBB" w14:textId="77777777" w:rsidR="00B344B6" w:rsidRDefault="00B34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B010A" w14:textId="1D2DAC0C" w:rsidR="00B636C8" w:rsidRDefault="00B636C8">
    <w:pPr>
      <w:pStyle w:val="Header"/>
      <w:jc w:val="center"/>
      <w:rPr>
        <w:rFonts w:ascii="Arial" w:hAnsi="Arial" w:cs="Arial"/>
        <w:sz w:val="24"/>
        <w:szCs w:val="24"/>
      </w:rPr>
    </w:pPr>
  </w:p>
  <w:p w14:paraId="29B48DAF" w14:textId="77777777" w:rsidR="00B636C8" w:rsidRDefault="00B636C8">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4FD4B" w14:textId="31D17A7B" w:rsidR="00B636C8" w:rsidRDefault="005727E3">
    <w:pPr>
      <w:pStyle w:val="Header"/>
      <w:jc w:val="center"/>
    </w:pPr>
    <w:r>
      <w:rPr>
        <w:noProof/>
      </w:rPr>
      <w:drawing>
        <wp:inline distT="0" distB="0" distL="0" distR="0" wp14:anchorId="4C548E29" wp14:editId="02108BAD">
          <wp:extent cx="1220505" cy="802046"/>
          <wp:effectExtent l="0" t="0" r="0" b="0"/>
          <wp:docPr id="182830490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304906"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5632" cy="805415"/>
                  </a:xfrm>
                  <a:prstGeom prst="rect">
                    <a:avLst/>
                  </a:prstGeom>
                </pic:spPr>
              </pic:pic>
            </a:graphicData>
          </a:graphic>
        </wp:inline>
      </w:drawing>
    </w:r>
  </w:p>
  <w:p w14:paraId="498E02B6" w14:textId="77777777" w:rsidR="00B636C8" w:rsidRDefault="00B636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42159"/>
    <w:multiLevelType w:val="multilevel"/>
    <w:tmpl w:val="E3364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7742"/>
    <w:multiLevelType w:val="multilevel"/>
    <w:tmpl w:val="D53AC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63722"/>
    <w:multiLevelType w:val="multilevel"/>
    <w:tmpl w:val="AC0CF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C31FA"/>
    <w:multiLevelType w:val="multilevel"/>
    <w:tmpl w:val="7BA4A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67585"/>
    <w:multiLevelType w:val="multilevel"/>
    <w:tmpl w:val="6450B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B30050"/>
    <w:multiLevelType w:val="multilevel"/>
    <w:tmpl w:val="3BC8F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024214"/>
    <w:multiLevelType w:val="multilevel"/>
    <w:tmpl w:val="504A9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7C7F65"/>
    <w:multiLevelType w:val="multilevel"/>
    <w:tmpl w:val="253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6FF1"/>
    <w:multiLevelType w:val="hybridMultilevel"/>
    <w:tmpl w:val="8E5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A4B42"/>
    <w:multiLevelType w:val="hybridMultilevel"/>
    <w:tmpl w:val="2C6A6D9A"/>
    <w:lvl w:ilvl="0" w:tplc="2B944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53F5D"/>
    <w:multiLevelType w:val="multilevel"/>
    <w:tmpl w:val="F79A9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A393C"/>
    <w:multiLevelType w:val="hybridMultilevel"/>
    <w:tmpl w:val="FBC2DA7A"/>
    <w:lvl w:ilvl="0" w:tplc="36362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10B02"/>
    <w:multiLevelType w:val="hybridMultilevel"/>
    <w:tmpl w:val="DD3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4F59"/>
    <w:multiLevelType w:val="hybridMultilevel"/>
    <w:tmpl w:val="31EA5C6C"/>
    <w:lvl w:ilvl="0" w:tplc="04090001">
      <w:start w:val="1"/>
      <w:numFmt w:val="bullet"/>
      <w:lvlText w:val=""/>
      <w:lvlJc w:val="left"/>
      <w:pPr>
        <w:ind w:left="720" w:hanging="360"/>
      </w:pPr>
      <w:rPr>
        <w:rFonts w:ascii="Symbol" w:hAnsi="Symbol" w:hint="default"/>
      </w:rPr>
    </w:lvl>
    <w:lvl w:ilvl="1" w:tplc="3822F238">
      <w:numFmt w:val="bullet"/>
      <w:lvlText w:val="•"/>
      <w:lvlJc w:val="left"/>
      <w:pPr>
        <w:ind w:left="1440" w:hanging="360"/>
      </w:pPr>
      <w:rPr>
        <w:rFonts w:ascii="Arial" w:eastAsia="Calibr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84A87"/>
    <w:multiLevelType w:val="multilevel"/>
    <w:tmpl w:val="61242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012F3"/>
    <w:multiLevelType w:val="multilevel"/>
    <w:tmpl w:val="2EE4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E82766"/>
    <w:multiLevelType w:val="multilevel"/>
    <w:tmpl w:val="6A920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B534725"/>
    <w:multiLevelType w:val="multilevel"/>
    <w:tmpl w:val="34AAC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01A97"/>
    <w:multiLevelType w:val="multilevel"/>
    <w:tmpl w:val="A2948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6C2760"/>
    <w:multiLevelType w:val="multilevel"/>
    <w:tmpl w:val="52F60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003C3"/>
    <w:multiLevelType w:val="multilevel"/>
    <w:tmpl w:val="0CA69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0D39DA"/>
    <w:multiLevelType w:val="multilevel"/>
    <w:tmpl w:val="51EE8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1372E7"/>
    <w:multiLevelType w:val="multilevel"/>
    <w:tmpl w:val="BD921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BC3F56"/>
    <w:multiLevelType w:val="multilevel"/>
    <w:tmpl w:val="29D8CB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987396D"/>
    <w:multiLevelType w:val="hybridMultilevel"/>
    <w:tmpl w:val="CE760C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162E49"/>
    <w:multiLevelType w:val="multilevel"/>
    <w:tmpl w:val="B21EC8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82686">
    <w:abstractNumId w:val="11"/>
  </w:num>
  <w:num w:numId="2" w16cid:durableId="506023898">
    <w:abstractNumId w:val="20"/>
  </w:num>
  <w:num w:numId="3" w16cid:durableId="479153856">
    <w:abstractNumId w:val="2"/>
  </w:num>
  <w:num w:numId="4" w16cid:durableId="902761009">
    <w:abstractNumId w:val="15"/>
  </w:num>
  <w:num w:numId="5" w16cid:durableId="430511673">
    <w:abstractNumId w:val="9"/>
  </w:num>
  <w:num w:numId="6" w16cid:durableId="1820879103">
    <w:abstractNumId w:val="13"/>
  </w:num>
  <w:num w:numId="7" w16cid:durableId="905257853">
    <w:abstractNumId w:val="10"/>
  </w:num>
  <w:num w:numId="8" w16cid:durableId="3871139">
    <w:abstractNumId w:val="12"/>
  </w:num>
  <w:num w:numId="9" w16cid:durableId="616327314">
    <w:abstractNumId w:val="22"/>
  </w:num>
  <w:num w:numId="10" w16cid:durableId="155532153">
    <w:abstractNumId w:val="4"/>
  </w:num>
  <w:num w:numId="11" w16cid:durableId="946691770">
    <w:abstractNumId w:val="16"/>
  </w:num>
  <w:num w:numId="12" w16cid:durableId="1309440801">
    <w:abstractNumId w:val="0"/>
  </w:num>
  <w:num w:numId="13" w16cid:durableId="2031373269">
    <w:abstractNumId w:val="8"/>
  </w:num>
  <w:num w:numId="14" w16cid:durableId="600643938">
    <w:abstractNumId w:val="28"/>
  </w:num>
  <w:num w:numId="15" w16cid:durableId="194730150">
    <w:abstractNumId w:val="19"/>
  </w:num>
  <w:num w:numId="16" w16cid:durableId="29259273">
    <w:abstractNumId w:val="5"/>
  </w:num>
  <w:num w:numId="17" w16cid:durableId="1542013349">
    <w:abstractNumId w:val="14"/>
  </w:num>
  <w:num w:numId="18" w16cid:durableId="625158202">
    <w:abstractNumId w:val="24"/>
  </w:num>
  <w:num w:numId="19" w16cid:durableId="342900732">
    <w:abstractNumId w:val="18"/>
  </w:num>
  <w:num w:numId="20" w16cid:durableId="1308436592">
    <w:abstractNumId w:val="7"/>
  </w:num>
  <w:num w:numId="21" w16cid:durableId="805120847">
    <w:abstractNumId w:val="1"/>
  </w:num>
  <w:num w:numId="22" w16cid:durableId="740098206">
    <w:abstractNumId w:val="25"/>
  </w:num>
  <w:num w:numId="23" w16cid:durableId="945424591">
    <w:abstractNumId w:val="3"/>
  </w:num>
  <w:num w:numId="24" w16cid:durableId="1283805473">
    <w:abstractNumId w:val="23"/>
  </w:num>
  <w:num w:numId="25" w16cid:durableId="980308165">
    <w:abstractNumId w:val="17"/>
  </w:num>
  <w:num w:numId="26" w16cid:durableId="1642495712">
    <w:abstractNumId w:val="21"/>
  </w:num>
  <w:num w:numId="27" w16cid:durableId="328991927">
    <w:abstractNumId w:val="6"/>
  </w:num>
  <w:num w:numId="28" w16cid:durableId="165831930">
    <w:abstractNumId w:val="26"/>
  </w:num>
  <w:num w:numId="29" w16cid:durableId="2754480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proofState w:spelling="clean" w:grammar="clean"/>
  <w:documentProtection w:edit="forms" w:enforcement="1" w:cryptProviderType="rsaAES" w:cryptAlgorithmClass="hash" w:cryptAlgorithmType="typeAny" w:cryptAlgorithmSid="14" w:cryptSpinCount="100000" w:hash="veidGeGjwbqrp7Ko/v3skiGs2xP0Um72smU3UJpnzhpF550y7CiqUi9t6biKuL02mJa8r7YaG+WozMPFEfs9RA==" w:salt="UjAPJ8W1Jrpcy1Rz9IH88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65B89"/>
    <w:rsid w:val="00073852"/>
    <w:rsid w:val="0007512F"/>
    <w:rsid w:val="00082AFF"/>
    <w:rsid w:val="00086A76"/>
    <w:rsid w:val="000908DD"/>
    <w:rsid w:val="00095BC7"/>
    <w:rsid w:val="000D731A"/>
    <w:rsid w:val="000E220B"/>
    <w:rsid w:val="000F41CA"/>
    <w:rsid w:val="000F5F1B"/>
    <w:rsid w:val="00107F49"/>
    <w:rsid w:val="00112F1A"/>
    <w:rsid w:val="00150F7C"/>
    <w:rsid w:val="00170F88"/>
    <w:rsid w:val="00177860"/>
    <w:rsid w:val="001B37AF"/>
    <w:rsid w:val="001C5CD8"/>
    <w:rsid w:val="001C68FC"/>
    <w:rsid w:val="001D063F"/>
    <w:rsid w:val="001D6859"/>
    <w:rsid w:val="001E6EA8"/>
    <w:rsid w:val="001F5F89"/>
    <w:rsid w:val="001F6AEF"/>
    <w:rsid w:val="00212DD9"/>
    <w:rsid w:val="00216912"/>
    <w:rsid w:val="0023647E"/>
    <w:rsid w:val="0024381C"/>
    <w:rsid w:val="00257E21"/>
    <w:rsid w:val="00272E9B"/>
    <w:rsid w:val="002976CB"/>
    <w:rsid w:val="002A0DD4"/>
    <w:rsid w:val="002B5CF2"/>
    <w:rsid w:val="002B5FB2"/>
    <w:rsid w:val="002B681F"/>
    <w:rsid w:val="002D64DA"/>
    <w:rsid w:val="002E1B18"/>
    <w:rsid w:val="002E23F7"/>
    <w:rsid w:val="00326970"/>
    <w:rsid w:val="00333A71"/>
    <w:rsid w:val="00336905"/>
    <w:rsid w:val="0035722D"/>
    <w:rsid w:val="003B7F38"/>
    <w:rsid w:val="003E5AE2"/>
    <w:rsid w:val="003F727A"/>
    <w:rsid w:val="00413B76"/>
    <w:rsid w:val="00420ABF"/>
    <w:rsid w:val="00433C87"/>
    <w:rsid w:val="00440DA0"/>
    <w:rsid w:val="00464FA9"/>
    <w:rsid w:val="004B05DE"/>
    <w:rsid w:val="004B15E4"/>
    <w:rsid w:val="0050120D"/>
    <w:rsid w:val="00502780"/>
    <w:rsid w:val="00512CDD"/>
    <w:rsid w:val="00534ECB"/>
    <w:rsid w:val="00555522"/>
    <w:rsid w:val="005727E3"/>
    <w:rsid w:val="00574247"/>
    <w:rsid w:val="0058236F"/>
    <w:rsid w:val="00594A69"/>
    <w:rsid w:val="005B76D3"/>
    <w:rsid w:val="005C4629"/>
    <w:rsid w:val="005D4857"/>
    <w:rsid w:val="00612FDA"/>
    <w:rsid w:val="0062282F"/>
    <w:rsid w:val="00625EFE"/>
    <w:rsid w:val="00627DB4"/>
    <w:rsid w:val="00636276"/>
    <w:rsid w:val="00650A58"/>
    <w:rsid w:val="006554A2"/>
    <w:rsid w:val="0065577B"/>
    <w:rsid w:val="00675EB8"/>
    <w:rsid w:val="0069057F"/>
    <w:rsid w:val="006C3173"/>
    <w:rsid w:val="006D056E"/>
    <w:rsid w:val="006E754F"/>
    <w:rsid w:val="006F23D2"/>
    <w:rsid w:val="00724781"/>
    <w:rsid w:val="007469E0"/>
    <w:rsid w:val="00747D45"/>
    <w:rsid w:val="007912B3"/>
    <w:rsid w:val="00821C23"/>
    <w:rsid w:val="0083413E"/>
    <w:rsid w:val="0084152D"/>
    <w:rsid w:val="008424AD"/>
    <w:rsid w:val="00847A63"/>
    <w:rsid w:val="00855EE6"/>
    <w:rsid w:val="0086083E"/>
    <w:rsid w:val="00872DA6"/>
    <w:rsid w:val="00893D51"/>
    <w:rsid w:val="008A40DA"/>
    <w:rsid w:val="008A7FDC"/>
    <w:rsid w:val="008B0231"/>
    <w:rsid w:val="008B32E5"/>
    <w:rsid w:val="008B3D20"/>
    <w:rsid w:val="008E54A4"/>
    <w:rsid w:val="009030FC"/>
    <w:rsid w:val="0090320F"/>
    <w:rsid w:val="00914425"/>
    <w:rsid w:val="00917358"/>
    <w:rsid w:val="00926535"/>
    <w:rsid w:val="00933B0E"/>
    <w:rsid w:val="0093623D"/>
    <w:rsid w:val="00952787"/>
    <w:rsid w:val="00953CC3"/>
    <w:rsid w:val="00972B4F"/>
    <w:rsid w:val="0097589C"/>
    <w:rsid w:val="009A3660"/>
    <w:rsid w:val="009C1EE8"/>
    <w:rsid w:val="009C592F"/>
    <w:rsid w:val="00A31BFA"/>
    <w:rsid w:val="00A4146D"/>
    <w:rsid w:val="00A479EE"/>
    <w:rsid w:val="00A52450"/>
    <w:rsid w:val="00A56818"/>
    <w:rsid w:val="00AA4BF9"/>
    <w:rsid w:val="00AB4B74"/>
    <w:rsid w:val="00AC1B56"/>
    <w:rsid w:val="00AC2F0C"/>
    <w:rsid w:val="00AD116F"/>
    <w:rsid w:val="00B140C2"/>
    <w:rsid w:val="00B23768"/>
    <w:rsid w:val="00B23D93"/>
    <w:rsid w:val="00B31263"/>
    <w:rsid w:val="00B344B6"/>
    <w:rsid w:val="00B40009"/>
    <w:rsid w:val="00B54DF7"/>
    <w:rsid w:val="00B575C0"/>
    <w:rsid w:val="00B61F4A"/>
    <w:rsid w:val="00B636C8"/>
    <w:rsid w:val="00B758C3"/>
    <w:rsid w:val="00BB173C"/>
    <w:rsid w:val="00BB2AC7"/>
    <w:rsid w:val="00BD5778"/>
    <w:rsid w:val="00BE5688"/>
    <w:rsid w:val="00BF2F85"/>
    <w:rsid w:val="00C0628E"/>
    <w:rsid w:val="00C11900"/>
    <w:rsid w:val="00C325BC"/>
    <w:rsid w:val="00C57EE0"/>
    <w:rsid w:val="00C64784"/>
    <w:rsid w:val="00C75CAF"/>
    <w:rsid w:val="00C85B14"/>
    <w:rsid w:val="00CA076B"/>
    <w:rsid w:val="00CA4095"/>
    <w:rsid w:val="00CB0150"/>
    <w:rsid w:val="00CB0F42"/>
    <w:rsid w:val="00CC6BE4"/>
    <w:rsid w:val="00CE3826"/>
    <w:rsid w:val="00CF1142"/>
    <w:rsid w:val="00D134E0"/>
    <w:rsid w:val="00D21959"/>
    <w:rsid w:val="00D35E6A"/>
    <w:rsid w:val="00D8334C"/>
    <w:rsid w:val="00DB16CF"/>
    <w:rsid w:val="00DC0570"/>
    <w:rsid w:val="00DC5F28"/>
    <w:rsid w:val="00DD51AB"/>
    <w:rsid w:val="00E0288C"/>
    <w:rsid w:val="00E135FA"/>
    <w:rsid w:val="00E25318"/>
    <w:rsid w:val="00E33C34"/>
    <w:rsid w:val="00E34769"/>
    <w:rsid w:val="00E355C6"/>
    <w:rsid w:val="00E717F8"/>
    <w:rsid w:val="00E80A2D"/>
    <w:rsid w:val="00E9748E"/>
    <w:rsid w:val="00EA6624"/>
    <w:rsid w:val="00ED048E"/>
    <w:rsid w:val="00EE39FA"/>
    <w:rsid w:val="00EF642F"/>
    <w:rsid w:val="00F116D8"/>
    <w:rsid w:val="00F27975"/>
    <w:rsid w:val="00F40567"/>
    <w:rsid w:val="00F737D6"/>
    <w:rsid w:val="00F84AEF"/>
    <w:rsid w:val="00FA6F1C"/>
    <w:rsid w:val="00FE0AC6"/>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NormalWeb">
    <w:name w:val="Normal (Web)"/>
    <w:basedOn w:val="Normal"/>
    <w:uiPriority w:val="99"/>
    <w:unhideWhenUsed/>
    <w:rsid w:val="000D73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7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22984">
      <w:bodyDiv w:val="1"/>
      <w:marLeft w:val="0"/>
      <w:marRight w:val="0"/>
      <w:marTop w:val="0"/>
      <w:marBottom w:val="0"/>
      <w:divBdr>
        <w:top w:val="none" w:sz="0" w:space="0" w:color="auto"/>
        <w:left w:val="none" w:sz="0" w:space="0" w:color="auto"/>
        <w:bottom w:val="none" w:sz="0" w:space="0" w:color="auto"/>
        <w:right w:val="none" w:sz="0" w:space="0" w:color="auto"/>
      </w:divBdr>
    </w:div>
    <w:div w:id="367880094">
      <w:bodyDiv w:val="1"/>
      <w:marLeft w:val="0"/>
      <w:marRight w:val="0"/>
      <w:marTop w:val="0"/>
      <w:marBottom w:val="0"/>
      <w:divBdr>
        <w:top w:val="none" w:sz="0" w:space="0" w:color="auto"/>
        <w:left w:val="none" w:sz="0" w:space="0" w:color="auto"/>
        <w:bottom w:val="none" w:sz="0" w:space="0" w:color="auto"/>
        <w:right w:val="none" w:sz="0" w:space="0" w:color="auto"/>
      </w:divBdr>
    </w:div>
    <w:div w:id="376663765">
      <w:bodyDiv w:val="1"/>
      <w:marLeft w:val="0"/>
      <w:marRight w:val="0"/>
      <w:marTop w:val="0"/>
      <w:marBottom w:val="0"/>
      <w:divBdr>
        <w:top w:val="none" w:sz="0" w:space="0" w:color="auto"/>
        <w:left w:val="none" w:sz="0" w:space="0" w:color="auto"/>
        <w:bottom w:val="none" w:sz="0" w:space="0" w:color="auto"/>
        <w:right w:val="none" w:sz="0" w:space="0" w:color="auto"/>
      </w:divBdr>
    </w:div>
    <w:div w:id="1079904400">
      <w:bodyDiv w:val="1"/>
      <w:marLeft w:val="0"/>
      <w:marRight w:val="0"/>
      <w:marTop w:val="0"/>
      <w:marBottom w:val="0"/>
      <w:divBdr>
        <w:top w:val="none" w:sz="0" w:space="0" w:color="auto"/>
        <w:left w:val="none" w:sz="0" w:space="0" w:color="auto"/>
        <w:bottom w:val="none" w:sz="0" w:space="0" w:color="auto"/>
        <w:right w:val="none" w:sz="0" w:space="0" w:color="auto"/>
      </w:divBdr>
    </w:div>
    <w:div w:id="1187938066">
      <w:bodyDiv w:val="1"/>
      <w:marLeft w:val="0"/>
      <w:marRight w:val="0"/>
      <w:marTop w:val="0"/>
      <w:marBottom w:val="0"/>
      <w:divBdr>
        <w:top w:val="none" w:sz="0" w:space="0" w:color="auto"/>
        <w:left w:val="none" w:sz="0" w:space="0" w:color="auto"/>
        <w:bottom w:val="none" w:sz="0" w:space="0" w:color="auto"/>
        <w:right w:val="none" w:sz="0" w:space="0" w:color="auto"/>
      </w:divBdr>
    </w:div>
    <w:div w:id="1215699620">
      <w:bodyDiv w:val="1"/>
      <w:marLeft w:val="0"/>
      <w:marRight w:val="0"/>
      <w:marTop w:val="0"/>
      <w:marBottom w:val="0"/>
      <w:divBdr>
        <w:top w:val="none" w:sz="0" w:space="0" w:color="auto"/>
        <w:left w:val="none" w:sz="0" w:space="0" w:color="auto"/>
        <w:bottom w:val="none" w:sz="0" w:space="0" w:color="auto"/>
        <w:right w:val="none" w:sz="0" w:space="0" w:color="auto"/>
      </w:divBdr>
    </w:div>
    <w:div w:id="1343429667">
      <w:bodyDiv w:val="1"/>
      <w:marLeft w:val="0"/>
      <w:marRight w:val="0"/>
      <w:marTop w:val="0"/>
      <w:marBottom w:val="0"/>
      <w:divBdr>
        <w:top w:val="none" w:sz="0" w:space="0" w:color="auto"/>
        <w:left w:val="none" w:sz="0" w:space="0" w:color="auto"/>
        <w:bottom w:val="none" w:sz="0" w:space="0" w:color="auto"/>
        <w:right w:val="none" w:sz="0" w:space="0" w:color="auto"/>
      </w:divBdr>
    </w:div>
    <w:div w:id="1444032220">
      <w:bodyDiv w:val="1"/>
      <w:marLeft w:val="0"/>
      <w:marRight w:val="0"/>
      <w:marTop w:val="0"/>
      <w:marBottom w:val="0"/>
      <w:divBdr>
        <w:top w:val="none" w:sz="0" w:space="0" w:color="auto"/>
        <w:left w:val="none" w:sz="0" w:space="0" w:color="auto"/>
        <w:bottom w:val="none" w:sz="0" w:space="0" w:color="auto"/>
        <w:right w:val="none" w:sz="0" w:space="0" w:color="auto"/>
      </w:divBdr>
    </w:div>
    <w:div w:id="1507598173">
      <w:bodyDiv w:val="1"/>
      <w:marLeft w:val="0"/>
      <w:marRight w:val="0"/>
      <w:marTop w:val="0"/>
      <w:marBottom w:val="0"/>
      <w:divBdr>
        <w:top w:val="none" w:sz="0" w:space="0" w:color="auto"/>
        <w:left w:val="none" w:sz="0" w:space="0" w:color="auto"/>
        <w:bottom w:val="none" w:sz="0" w:space="0" w:color="auto"/>
        <w:right w:val="none" w:sz="0" w:space="0" w:color="auto"/>
      </w:divBdr>
    </w:div>
    <w:div w:id="1663658388">
      <w:bodyDiv w:val="1"/>
      <w:marLeft w:val="0"/>
      <w:marRight w:val="0"/>
      <w:marTop w:val="0"/>
      <w:marBottom w:val="0"/>
      <w:divBdr>
        <w:top w:val="none" w:sz="0" w:space="0" w:color="auto"/>
        <w:left w:val="none" w:sz="0" w:space="0" w:color="auto"/>
        <w:bottom w:val="none" w:sz="0" w:space="0" w:color="auto"/>
        <w:right w:val="none" w:sz="0" w:space="0" w:color="auto"/>
      </w:divBdr>
    </w:div>
    <w:div w:id="1784765398">
      <w:bodyDiv w:val="1"/>
      <w:marLeft w:val="0"/>
      <w:marRight w:val="0"/>
      <w:marTop w:val="0"/>
      <w:marBottom w:val="0"/>
      <w:divBdr>
        <w:top w:val="none" w:sz="0" w:space="0" w:color="auto"/>
        <w:left w:val="none" w:sz="0" w:space="0" w:color="auto"/>
        <w:bottom w:val="none" w:sz="0" w:space="0" w:color="auto"/>
        <w:right w:val="none" w:sz="0" w:space="0" w:color="auto"/>
      </w:divBdr>
    </w:div>
    <w:div w:id="1838031694">
      <w:bodyDiv w:val="1"/>
      <w:marLeft w:val="0"/>
      <w:marRight w:val="0"/>
      <w:marTop w:val="0"/>
      <w:marBottom w:val="0"/>
      <w:divBdr>
        <w:top w:val="none" w:sz="0" w:space="0" w:color="auto"/>
        <w:left w:val="none" w:sz="0" w:space="0" w:color="auto"/>
        <w:bottom w:val="none" w:sz="0" w:space="0" w:color="auto"/>
        <w:right w:val="none" w:sz="0" w:space="0" w:color="auto"/>
      </w:divBdr>
    </w:div>
    <w:div w:id="1955212156">
      <w:bodyDiv w:val="1"/>
      <w:marLeft w:val="0"/>
      <w:marRight w:val="0"/>
      <w:marTop w:val="0"/>
      <w:marBottom w:val="0"/>
      <w:divBdr>
        <w:top w:val="none" w:sz="0" w:space="0" w:color="auto"/>
        <w:left w:val="none" w:sz="0" w:space="0" w:color="auto"/>
        <w:bottom w:val="none" w:sz="0" w:space="0" w:color="auto"/>
        <w:right w:val="none" w:sz="0" w:space="0" w:color="auto"/>
      </w:divBdr>
    </w:div>
    <w:div w:id="203464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adsafety.umn.edu/" TargetMode="External"/><Relationship Id="rId21" Type="http://schemas.openxmlformats.org/officeDocument/2006/relationships/hyperlink" Target="mailto:research@gillettechildrens.com" TargetMode="External"/><Relationship Id="rId34" Type="http://schemas.openxmlformats.org/officeDocument/2006/relationships/hyperlink" Target="https://www.cmrr.umn.edu/preirb/" TargetMode="External"/><Relationship Id="rId42" Type="http://schemas.openxmlformats.org/officeDocument/2006/relationships/hyperlink" Target="https://compliance.umn.edu/conflictHome.htm" TargetMode="External"/><Relationship Id="rId47" Type="http://schemas.openxmlformats.org/officeDocument/2006/relationships/hyperlink" Target="https://research.umn.edu/units/obao" TargetMode="External"/><Relationship Id="rId50" Type="http://schemas.openxmlformats.org/officeDocument/2006/relationships/hyperlink" Target="https://research.umn.edu/units/obao" TargetMode="External"/><Relationship Id="rId55" Type="http://schemas.openxmlformats.org/officeDocument/2006/relationships/hyperlink" Target="mailto:hlogren@uumn.edu" TargetMode="External"/><Relationship Id="rId63"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drive.google.com/open?id=1TR2pVI9vCabCjQVadUfr0WQDnl6jVMxr" TargetMode="External"/><Relationship Id="rId29" Type="http://schemas.openxmlformats.org/officeDocument/2006/relationships/hyperlink" Target="https://radsafety.umn.edu/human-use-application-and-resources" TargetMode="External"/><Relationship Id="rId11" Type="http://schemas.openxmlformats.org/officeDocument/2006/relationships/footnotes" Target="footnotes.xml"/><Relationship Id="rId24" Type="http://schemas.openxmlformats.org/officeDocument/2006/relationships/hyperlink" Target="https://redcap.ahc.umn.edu/redcap/surveys/?s=gmfwoj8yGJ" TargetMode="External"/><Relationship Id="rId32" Type="http://schemas.openxmlformats.org/officeDocument/2006/relationships/hyperlink" Target="https://www.cmrr.umn.edu/preirb/" TargetMode="External"/><Relationship Id="rId37" Type="http://schemas.openxmlformats.org/officeDocument/2006/relationships/hyperlink" Target="mailto:cjarboe@umn.edu" TargetMode="External"/><Relationship Id="rId40" Type="http://schemas.openxmlformats.org/officeDocument/2006/relationships/hyperlink" Target="mailto:Privacy@umn.edu" TargetMode="External"/><Relationship Id="rId45" Type="http://schemas.openxmlformats.org/officeDocument/2006/relationships/hyperlink" Target="https://research.umn.edu/units/obao/research-oversight-areas/fetal-tissue-research-ftr" TargetMode="External"/><Relationship Id="rId53" Type="http://schemas.openxmlformats.org/officeDocument/2006/relationships/hyperlink" Target="mailto:oncore@umn.edu" TargetMode="External"/><Relationship Id="rId58" Type="http://schemas.openxmlformats.org/officeDocument/2006/relationships/hyperlink" Target="https://naa.umn.edu/"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mailto:medreg@umn.edu" TargetMode="External"/><Relationship Id="rId14" Type="http://schemas.openxmlformats.org/officeDocument/2006/relationships/hyperlink" Target="https://www.cancer.umn.edu/for-researchers/investigator-resources/cancer-protocol-review-committee" TargetMode="External"/><Relationship Id="rId22" Type="http://schemas.openxmlformats.org/officeDocument/2006/relationships/hyperlink" Target="https://ctsi.umn.edu/services/data-informatics/biomedical-informatics-and-data-access" TargetMode="External"/><Relationship Id="rId27" Type="http://schemas.openxmlformats.org/officeDocument/2006/relationships/hyperlink" Target="mailto:barmstro@umn.edu" TargetMode="External"/><Relationship Id="rId30" Type="http://schemas.openxmlformats.org/officeDocument/2006/relationships/hyperlink" Target="https://ctsi.umn.edu/services/biospecimen-support" TargetMode="External"/><Relationship Id="rId35" Type="http://schemas.openxmlformats.org/officeDocument/2006/relationships/hyperlink" Target="mailto:fencl003@umn.edu" TargetMode="External"/><Relationship Id="rId43" Type="http://schemas.openxmlformats.org/officeDocument/2006/relationships/hyperlink" Target="mailto:becca002@umn.edu" TargetMode="External"/><Relationship Id="rId48" Type="http://schemas.openxmlformats.org/officeDocument/2006/relationships/hyperlink" Target="https://research.umn.edu/units/obao/research-oversight-areas/stem-cell-research-oversight-scro" TargetMode="External"/><Relationship Id="rId56" Type="http://schemas.openxmlformats.org/officeDocument/2006/relationships/hyperlink" Target="https://uhs.umn.edu/department-environmental-health-safety/lab-research-safety/controlled-substances/controlled" TargetMode="External"/><Relationship Id="rId64"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ctsi.umn.edu/tools/oncore-ctms/studies-enter-oncor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hrpp@umn.edu" TargetMode="External"/><Relationship Id="rId25" Type="http://schemas.openxmlformats.org/officeDocument/2006/relationships/hyperlink" Target="mailto:fencl003@umn.edu" TargetMode="External"/><Relationship Id="rId33" Type="http://schemas.openxmlformats.org/officeDocument/2006/relationships/hyperlink" Target="mailto:Ande2445@umn.edu" TargetMode="External"/><Relationship Id="rId38" Type="http://schemas.openxmlformats.org/officeDocument/2006/relationships/hyperlink" Target="mailto:cjarboe@umn.edu" TargetMode="External"/><Relationship Id="rId46" Type="http://schemas.openxmlformats.org/officeDocument/2006/relationships/hyperlink" Target="mailto:Parkx479@umn.edu" TargetMode="External"/><Relationship Id="rId59" Type="http://schemas.openxmlformats.org/officeDocument/2006/relationships/hyperlink" Target="mailto:redcap@umn.edu" TargetMode="External"/><Relationship Id="rId20" Type="http://schemas.openxmlformats.org/officeDocument/2006/relationships/hyperlink" Target="mailto:research@gillettechildrens.com" TargetMode="External"/><Relationship Id="rId41" Type="http://schemas.openxmlformats.org/officeDocument/2006/relationships/hyperlink" Target="https://healthprivacy.umn.edu/hipaa-compliance/hipaa-compliance-university" TargetMode="External"/><Relationship Id="rId54"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ccprc@umn.edu" TargetMode="External"/><Relationship Id="rId23" Type="http://schemas.openxmlformats.org/officeDocument/2006/relationships/hyperlink" Target="mailto:bpic@umn.edu" TargetMode="External"/><Relationship Id="rId28" Type="http://schemas.openxmlformats.org/officeDocument/2006/relationships/hyperlink" Target="https://radsafety.umn.edu/sites/radsafety.umn.edu/files/hus_application_2016.docx" TargetMode="External"/><Relationship Id="rId36" Type="http://schemas.openxmlformats.org/officeDocument/2006/relationships/hyperlink" Target="https://research.umn.edu/units/irb/education-training/required-training" TargetMode="External"/><Relationship Id="rId49" Type="http://schemas.openxmlformats.org/officeDocument/2006/relationships/hyperlink" Target="mailto:Parkx479@umn.edu" TargetMode="External"/><Relationship Id="rId57" Type="http://schemas.openxmlformats.org/officeDocument/2006/relationships/hyperlink" Target="mailto:ancillaryreview@Fairview.org" TargetMode="External"/><Relationship Id="rId10" Type="http://schemas.openxmlformats.org/officeDocument/2006/relationships/webSettings" Target="webSettings.xml"/><Relationship Id="rId31" Type="http://schemas.openxmlformats.org/officeDocument/2006/relationships/hyperlink" Target="mailto:bionet@umn.edu" TargetMode="External"/><Relationship Id="rId44" Type="http://schemas.openxmlformats.org/officeDocument/2006/relationships/hyperlink" Target="mailto:Parkx479@umn.edu" TargetMode="External"/><Relationship Id="rId52" Type="http://schemas.openxmlformats.org/officeDocument/2006/relationships/hyperlink" Target="https://sites.google.com/umn.edu/oncoredecisiontree/home" TargetMode="External"/><Relationship Id="rId60" Type="http://schemas.openxmlformats.org/officeDocument/2006/relationships/hyperlink" Target="https://ctsi.umn.edu/news/how-use-redcap-electronic-consent"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ancillaryreview@Fairview.org" TargetMode="External"/><Relationship Id="rId18" Type="http://schemas.openxmlformats.org/officeDocument/2006/relationships/hyperlink" Target="mailto:medreg@umn.edu" TargetMode="External"/><Relationship Id="rId39" Type="http://schemas.openxmlformats.org/officeDocument/2006/relationships/hyperlink" Target="https://www.healthprivacy.umn.edu/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3" ma:contentTypeDescription="Create a new document." ma:contentTypeScope="" ma:versionID="5be48a4954e20a02034bc5e036452459">
  <xsd:schema xmlns:xsd="http://www.w3.org/2001/XMLSchema" xmlns:xs="http://www.w3.org/2001/XMLSchema" xmlns:p="http://schemas.microsoft.com/office/2006/metadata/properties" xmlns:ns2="938d3d5d-398b-4048-8a70-24ab48006663" targetNamespace="http://schemas.microsoft.com/office/2006/metadata/properties" ma:root="true" ma:fieldsID="b84ecef93d46dfbafeebd0da11dfc047" ns2:_="">
    <xsd:import namespace="938d3d5d-398b-4048-8a70-24ab48006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3d5d-398b-4048-8a70-24ab4800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A56A6-0440-4564-A8D8-250B7E21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3d5d-398b-4048-8a70-24ab48006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95A64-8348-4B74-B658-1AE4C9C9E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C97B7F-CBF5-43DC-BB67-C635FAE5B715}">
  <ds:schemaRefs>
    <ds:schemaRef ds:uri="http://schemas.microsoft.com/sharepoint/v3/contenttype/forms"/>
  </ds:schemaRefs>
</ds:datastoreItem>
</file>

<file path=customXml/itemProps5.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6.xml><?xml version="1.0" encoding="utf-8"?>
<ds:datastoreItem xmlns:ds="http://schemas.openxmlformats.org/officeDocument/2006/customXml" ds:itemID="{A7CCA955-FBEB-4C51-8514-17DCC196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2024-03-26T15:23:00Z</dcterms:created>
  <dcterms:modified xsi:type="dcterms:W3CDTF">2024-03-27T22:23:00Z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3162600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